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3A4B"/>
          <w:sz w:val="44"/>
          <w:szCs w:val="44"/>
        </w:rPr>
        <w:t xml:space="preserve">NHL DFS STACKING RULES</w:t>
      </w:r>
    </w:p>
    <w:p>
      <w:pPr>
        <w:spacing w:after="80"/>
        <w:jc w:val="center"/>
      </w:pPr>
      <w:r>
        <w:rPr>
          <w:rFonts w:ascii="Arial" w:cs="Arial" w:eastAsia="Arial" w:hAnsi="Arial"/>
          <w:color w:val="666666"/>
          <w:sz w:val="26"/>
          <w:szCs w:val="26"/>
        </w:rPr>
        <w:t xml:space="preserve">Single-Entry $121 SE GPP Framework</w:t>
      </w:r>
    </w:p>
    <w:p>
      <w:pPr>
        <w:spacing w:after="300"/>
        <w:jc w:val="center"/>
      </w:pPr>
      <w:r>
        <w:rPr>
          <w:rFonts w:ascii="Arial" w:cs="Arial" w:eastAsia="Arial" w:hAnsi="Arial"/>
          <w:i/>
          <w:iCs/>
          <w:color w:val="999999"/>
          <w:sz w:val="18"/>
          <w:szCs w:val="18"/>
        </w:rPr>
        <w:t>Derived from MIT Picking Winners paper (Hunter/Vielma/Zaman, 2019), 4for4 GPP Leverage framework, and 12,841 observations from 96 SE slates</w:t>
      </w:r>
    </w:p>
    <w:p>
      <w:pPr>
        <w:pStyle w:val="Heading1"/>
      </w:pPr>
      <w:r>
        <w:t xml:space="preserve">Philosophy: What the Math Actually Says</w:t>
      </w:r>
    </w:p>
    <w:p>
      <w:pPr>
        <w:spacing w:after="160"/>
      </w:pPr>
      <w:r>
        <w:rPr>
          <w:rFonts w:ascii="Arial" w:cs="Arial" w:eastAsia="Arial" w:hAnsi="Arial"/>
          <w:sz w:val="22"/>
          <w:szCs w:val="22"/>
        </w:rPr>
        <w:t xml:space="preserve">The MIT paper proves that P(winning a top-heavy contest) increases with both higher lineup mean (projection) AND higher lineup variance (volatility). </w:t>
      </w:r>
      <w:r>
        <w:rPr>
          <w:rFonts w:ascii="Arial" w:cs="Arial" w:eastAsia="Arial" w:hAnsi="Arial"/>
          <w:b/>
          <w:bCs/>
          <w:sz w:val="22"/>
          <w:szCs w:val="22"/>
        </w:rPr>
        <w:t xml:space="preserve">Stacking is the primary mechanism for increasing variance.</w:t>
      </w:r>
      <w:r>
        <w:rPr>
          <w:rFonts w:ascii="Arial" w:cs="Arial" w:eastAsia="Arial" w:hAnsi="Arial"/>
          <w:sz w:val="22"/>
          <w:szCs w:val="22"/>
        </w:rPr>
        <w:t xml:space="preserve"> When teammates score, assist/goal combos give correlated fantasy points to multiple players on the same lineup. This correlation IS the variance.</w:t>
      </w:r>
    </w:p>
    <w:p>
      <w:pPr>
        <w:spacing w:after="160"/>
      </w:pPr>
      <w:r>
        <w:rPr>
          <w:rFonts w:ascii="Arial" w:cs="Arial" w:eastAsia="Arial" w:hAnsi="Arial"/>
          <w:b/>
          <w:bCs/>
          <w:sz w:val="22"/>
          <w:szCs w:val="22"/>
        </w:rPr>
        <w:t xml:space="preserve">However: </w:t>
      </w:r>
      <w:r>
        <w:rPr>
          <w:rFonts w:ascii="Arial" w:cs="Arial" w:eastAsia="Arial" w:hAnsi="Arial"/>
          <w:sz w:val="22"/>
          <w:szCs w:val="22"/>
        </w:rPr>
        <w:t xml:space="preserve">the MIT paper entered 200 lineups per contest. We enter ONE. Their approach absorbs variance across a portfolio — we eat the full variance of a single lineup. This means we need to be more selective about WHICH stack, not just that we stack. Every rule below is a guideline, not a law. On any given night, the right move might violate every rule here.</w:t>
      </w:r>
    </w:p>
    <w:p>
      <w:pPr>
        <w:spacing w:before="200"/>
      </w:pPr>
      <w:r>
        <w:rPr>
          <w:rFonts w:ascii="Arial" w:cs="Arial" w:eastAsia="Arial" w:hAnsi="Arial"/>
          <w:b/>
          <w:bCs/>
          <w:color w:val="1B3A4B"/>
          <w:sz w:val="22"/>
          <w:szCs w:val="22"/>
        </w:rPr>
        <w:t xml:space="preserve">THE VARIANCE MATH (from our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180"/>
        <w:gridCol w:w="2180"/>
      </w:tblGrid>
      <w:tr>
        <w:tc>
          <w:tcPr>
            <w:tcW w:type="dxa" w:w="5000"/>
            <w:tcBorders>
              <w:top w:val="single" w:color="CCCCCC" w:sz="1"/>
              <w:left w:val="single" w:color="CCCCCC" w:sz="1"/>
              <w:bottom w:val="single" w:color="CCCCCC" w:sz="1"/>
              <w:right w:val="single" w:color="CCCCCC" w:sz="1"/>
            </w:tcBorders>
            <w:shd w:fill="1B3A4B" w:color="auto" w:val="clear"/>
            <w:tcMar>
              <w:top w:type="dxa" w:w="80"/>
              <w:left w:type="dxa" w:w="120"/>
              <w:bottom w:type="dxa" w:w="80"/>
              <w:right w:type="dxa" w:w="120"/>
            </w:tcMar>
          </w:tcPr>
          <w:p>
            <w:pPr>
              <w:spacing w:before="40" w:after="40"/>
            </w:pPr>
            <w:r>
              <w:rPr>
                <w:rFonts w:ascii="Arial" w:cs="Arial" w:eastAsia="Arial" w:hAnsi="Arial"/>
                <w:b/>
                <w:bCs/>
                <w:color w:val="FFFFFF"/>
                <w:sz w:val="20"/>
                <w:szCs w:val="20"/>
                <w:shd w:val="clear" w:color="auto" w:fill="auto"/>
              </w:rPr>
              <w:t xml:space="preserve">Lineup Structure</w:t>
            </w:r>
          </w:p>
        </w:tc>
        <w:tc>
          <w:tcPr>
            <w:tcW w:type="dxa" w:w="2180"/>
            <w:tcBorders>
              <w:top w:val="single" w:color="CCCCCC" w:sz="1"/>
              <w:left w:val="single" w:color="CCCCCC" w:sz="1"/>
              <w:bottom w:val="single" w:color="CCCCCC" w:sz="1"/>
              <w:right w:val="single" w:color="CCCCCC" w:sz="1"/>
            </w:tcBorders>
            <w:shd w:fill="1B3A4B" w:color="auto" w:val="clear"/>
            <w:tcMar>
              <w:top w:type="dxa" w:w="80"/>
              <w:left w:type="dxa" w:w="120"/>
              <w:bottom w:type="dxa" w:w="80"/>
              <w:right w:type="dxa" w:w="120"/>
            </w:tcMar>
          </w:tcPr>
          <w:p>
            <w:pPr>
              <w:spacing w:before="40" w:after="40"/>
            </w:pPr>
            <w:r>
              <w:rPr>
                <w:rFonts w:ascii="Arial" w:cs="Arial" w:eastAsia="Arial" w:hAnsi="Arial"/>
                <w:b/>
                <w:bCs/>
                <w:color w:val="FFFFFF"/>
                <w:sz w:val="20"/>
                <w:szCs w:val="20"/>
                <w:shd w:val="clear" w:color="auto" w:fill="auto"/>
              </w:rPr>
              <w:t xml:space="preserve">σ (lineup std)</w:t>
            </w:r>
          </w:p>
        </w:tc>
        <w:tc>
          <w:tcPr>
            <w:tcW w:type="dxa" w:w="2180"/>
            <w:tcBorders>
              <w:top w:val="single" w:color="CCCCCC" w:sz="1"/>
              <w:left w:val="single" w:color="CCCCCC" w:sz="1"/>
              <w:bottom w:val="single" w:color="CCCCCC" w:sz="1"/>
              <w:right w:val="single" w:color="CCCCCC" w:sz="1"/>
            </w:tcBorders>
            <w:shd w:fill="1B3A4B" w:color="auto" w:val="clear"/>
            <w:tcMar>
              <w:top w:type="dxa" w:w="80"/>
              <w:left w:type="dxa" w:w="120"/>
              <w:bottom w:type="dxa" w:w="80"/>
              <w:right w:type="dxa" w:w="120"/>
            </w:tcMar>
          </w:tcPr>
          <w:p>
            <w:pPr>
              <w:spacing w:before="40" w:after="40"/>
            </w:pPr>
            <w:r>
              <w:rPr>
                <w:rFonts w:ascii="Arial" w:cs="Arial" w:eastAsia="Arial" w:hAnsi="Arial"/>
                <w:b/>
                <w:bCs/>
                <w:color w:val="FFFFFF"/>
                <w:sz w:val="20"/>
                <w:szCs w:val="20"/>
                <w:shd w:val="clear" w:color="auto" w:fill="auto"/>
              </w:rPr>
              <w:t xml:space="preserve">P(win) vs Base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20"/>
                <w:szCs w:val="20"/>
              </w:rPr>
              <w:t xml:space="preserve">No stacking (independent players)</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20"/>
                <w:szCs w:val="20"/>
              </w:rPr>
              <w:t xml:space="preserve">22.9</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20"/>
                <w:szCs w:val="20"/>
              </w:rPr>
              <w:t xml:space="preserve">Baseline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20"/>
                <w:szCs w:val="20"/>
              </w:rPr>
              <w:t xml:space="preserve">3-man line stack</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20"/>
                <w:szCs w:val="20"/>
              </w:rPr>
              <w:t xml:space="preserve">23.1</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20"/>
                <w:szCs w:val="20"/>
              </w:rPr>
              <w:t xml:space="preserve">1.13x</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20"/>
                <w:szCs w:val="20"/>
              </w:rPr>
              <w:t xml:space="preserve">3-man PP1 stack</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20"/>
                <w:szCs w:val="20"/>
              </w:rPr>
              <w:t xml:space="preserve">23.3</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20"/>
                <w:szCs w:val="20"/>
              </w:rPr>
              <w:t xml:space="preserve">1.22x</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20"/>
                <w:szCs w:val="20"/>
              </w:rPr>
              <w:t xml:space="preserve">4-man (line + PP1 D)</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20"/>
                <w:szCs w:val="20"/>
              </w:rPr>
              <w:t xml:space="preserve">23.6</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20"/>
                <w:szCs w:val="20"/>
              </w:rPr>
              <w:t xml:space="preserve">1.43x</w:t>
            </w:r>
          </w:p>
        </w:tc>
      </w:tr>
      <w:tr>
        <w:tc>
          <w:tcPr>
            <w:tcW w:type="dxa" w:w="5000"/>
            <w:tcBorders>
              <w:top w:val="single" w:color="CCCCCC" w:sz="1"/>
              <w:left w:val="single" w:color="CCCCCC" w:sz="1"/>
              <w:bottom w:val="single" w:color="CCCCCC" w:sz="1"/>
              <w:right w:val="single" w:color="CCCCCC" w:sz="1"/>
            </w:tcBorders>
            <w:shd w:fill="E8F5E9" w:color="auto" w:val="clear"/>
            <w:tcMar>
              <w:top w:type="dxa" w:w="80"/>
              <w:left w:type="dxa" w:w="120"/>
              <w:bottom w:type="dxa" w:w="80"/>
              <w:right w:type="dxa" w:w="120"/>
            </w:tcMar>
          </w:tcPr>
          <w:p>
            <w:pPr>
              <w:spacing w:before="40" w:after="40"/>
            </w:pPr>
            <w:r>
              <w:rPr>
                <w:rFonts w:ascii="Arial" w:cs="Arial" w:eastAsia="Arial" w:hAnsi="Arial"/>
                <w:sz w:val="20"/>
                <w:szCs w:val="20"/>
                <w:shd w:val="clear" w:color="auto" w:fill="auto"/>
              </w:rPr>
              <w:t xml:space="preserve">Best structure vs Worst</w:t>
            </w:r>
          </w:p>
        </w:tc>
        <w:tc>
          <w:tcPr>
            <w:tcW w:type="dxa" w:w="2180"/>
            <w:tcBorders>
              <w:top w:val="single" w:color="CCCCCC" w:sz="1"/>
              <w:left w:val="single" w:color="CCCCCC" w:sz="1"/>
              <w:bottom w:val="single" w:color="CCCCCC" w:sz="1"/>
              <w:right w:val="single" w:color="CCCCCC" w:sz="1"/>
            </w:tcBorders>
            <w:shd w:fill="E8F5E9" w:color="auto" w:val="clear"/>
            <w:tcMar>
              <w:top w:type="dxa" w:w="80"/>
              <w:left w:type="dxa" w:w="120"/>
              <w:bottom w:type="dxa" w:w="80"/>
              <w:right w:type="dxa" w:w="120"/>
            </w:tcMar>
          </w:tcPr>
          <w:p>
            <w:pPr>
              <w:spacing w:before="40" w:after="40"/>
            </w:pPr>
            <w:r>
              <w:rPr>
                <w:rFonts w:ascii="Arial" w:cs="Arial" w:eastAsia="Arial" w:hAnsi="Arial"/>
                <w:sz w:val="20"/>
                <w:szCs w:val="20"/>
                <w:shd w:val="clear" w:color="auto" w:fill="auto"/>
              </w:rPr>
              <w:t xml:space="preserve">23.6 vs 22.1</w:t>
            </w:r>
          </w:p>
        </w:tc>
        <w:tc>
          <w:tcPr>
            <w:tcW w:type="dxa" w:w="2180"/>
            <w:tcBorders>
              <w:top w:val="single" w:color="CCCCCC" w:sz="1"/>
              <w:left w:val="single" w:color="CCCCCC" w:sz="1"/>
              <w:bottom w:val="single" w:color="CCCCCC" w:sz="1"/>
              <w:right w:val="single" w:color="CCCCCC" w:sz="1"/>
            </w:tcBorders>
            <w:shd w:fill="E8F5E9" w:color="auto" w:val="clear"/>
            <w:tcMar>
              <w:top w:type="dxa" w:w="80"/>
              <w:left w:type="dxa" w:w="120"/>
              <w:bottom w:type="dxa" w:w="80"/>
              <w:right w:type="dxa" w:w="120"/>
            </w:tcMar>
          </w:tcPr>
          <w:p>
            <w:pPr>
              <w:spacing w:before="40" w:after="40"/>
            </w:pPr>
            <w:r>
              <w:rPr>
                <w:rFonts w:ascii="Arial" w:cs="Arial" w:eastAsia="Arial" w:hAnsi="Arial"/>
                <w:sz w:val="20"/>
                <w:szCs w:val="20"/>
                <w:shd w:val="clear" w:color="auto" w:fill="auto"/>
              </w:rPr>
              <w:t xml:space="preserve">2.1x</w:t>
            </w:r>
          </w:p>
        </w:tc>
      </w:tr>
    </w:tbl>
    <w:p>
      <w:pPr>
        <w:spacing w:before="80" w:after="200"/>
      </w:pPr>
      <w:r>
        <w:rPr>
          <w:rFonts w:ascii="Arial" w:cs="Arial" w:eastAsia="Arial" w:hAnsi="Arial"/>
          <w:i/>
          <w:iCs/>
          <w:color w:val="666666"/>
          <w:sz w:val="18"/>
          <w:szCs w:val="18"/>
        </w:rPr>
        <w:t xml:space="preserve">The best lineup structure has 2.1x the P(winning) of the worst. That’s real, but it’s still tiny in absolute terms (0.086% vs 0.042%). Stacking gives you a structural edge, not a guarantee.</w:t>
      </w:r>
    </w:p>
    <w:p>
      <w:pPr>
        <w:pStyle w:val="Heading1"/>
      </w:pPr>
      <w:r>
        <w:t xml:space="preserve">Rule 1: Goalie Stacking</w:t>
      </w:r>
    </w:p>
    <w:p>
      <w:pPr>
        <w:pStyle w:val="Heading3"/>
      </w:pPr>
      <w:r>
        <w:t xml:space="preserve">Never put skaters from the team opposing your goalie in the same lineup.</w:t>
      </w:r>
    </w:p>
    <w:p>
      <w:pPr>
        <w:spacing w:after="120"/>
      </w:pPr>
      <w:r>
        <w:rPr>
          <w:rFonts w:ascii="Arial" w:cs="Arial" w:eastAsia="Arial" w:hAnsi="Arial"/>
          <w:b/>
          <w:bCs/>
          <w:sz w:val="22"/>
          <w:szCs w:val="22"/>
        </w:rPr>
        <w:t xml:space="preserve">Source: </w:t>
      </w:r>
      <w:r>
        <w:rPr>
          <w:rFonts w:ascii="Arial" w:cs="Arial" w:eastAsia="Arial" w:hAnsi="Arial"/>
          <w:sz w:val="22"/>
          <w:szCs w:val="22"/>
        </w:rPr>
        <w:t xml:space="preserve">MIT paper Section 3.3 + our opposing goalie analysis (r = -0.581 between chalk stack FPTS and opposing goalie FPTS).</w:t>
      </w:r>
    </w:p>
    <w:p>
      <w:pPr>
        <w:spacing w:after="120"/>
      </w:pPr>
      <w:r>
        <w:rPr>
          <w:rFonts w:ascii="Arial" w:cs="Arial" w:eastAsia="Arial" w:hAnsi="Arial"/>
          <w:b/>
          <w:bCs/>
          <w:sz w:val="22"/>
          <w:szCs w:val="22"/>
        </w:rPr>
        <w:t xml:space="preserve">Why: </w:t>
      </w:r>
      <w:r>
        <w:rPr>
          <w:rFonts w:ascii="Arial" w:cs="Arial" w:eastAsia="Arial" w:hAnsi="Arial"/>
          <w:sz w:val="22"/>
          <w:szCs w:val="22"/>
        </w:rPr>
        <w:t xml:space="preserve">Goalies and opposing skaters are negatively correlated. When an opposing skater scores a goal, your goalie loses points (-1 for goal allowed). Each opposing skater in your lineup reduces lineup variance by ~6.3%. Three opposing skaters = -19% variance. You’re betting against yourself.</w:t>
      </w:r>
    </w:p>
    <w:p>
      <w:pPr>
        <w:spacing w:after="120"/>
      </w:pPr>
      <w:r>
        <w:rPr>
          <w:rFonts w:ascii="Arial" w:cs="Arial" w:eastAsia="Arial" w:hAnsi="Arial"/>
          <w:b/>
          <w:bCs/>
          <w:color w:val="2E7D32"/>
          <w:sz w:val="22"/>
          <w:szCs w:val="22"/>
        </w:rPr>
        <w:t xml:space="preserve">Confidence: HIGH. </w:t>
      </w:r>
      <w:r>
        <w:rPr>
          <w:rFonts w:ascii="Arial" w:cs="Arial" w:eastAsia="Arial" w:hAnsi="Arial"/>
          <w:sz w:val="22"/>
          <w:szCs w:val="22"/>
        </w:rPr>
        <w:t xml:space="preserve">This is structural, not statistical. The negative correlation comes directly from the scoring system (goals = +3 for scorer, -1 for opposing goalie). It’s true on every slate.</w:t>
      </w:r>
    </w:p>
    <w:p>
      <w:pPr>
        <w:spacing w:after="120"/>
      </w:pPr>
      <w:r>
        <w:rPr>
          <w:rFonts w:ascii="Arial" w:cs="Arial" w:eastAsia="Arial" w:hAnsi="Arial"/>
          <w:b/>
          <w:bCs/>
          <w:sz w:val="22"/>
          <w:szCs w:val="22"/>
        </w:rPr>
        <w:t xml:space="preserve">Exception: </w:t>
      </w:r>
      <w:r>
        <w:rPr>
          <w:rFonts w:ascii="Arial" w:cs="Arial" w:eastAsia="Arial" w:hAnsi="Arial"/>
          <w:sz w:val="22"/>
          <w:szCs w:val="22"/>
        </w:rPr>
        <w:t xml:space="preserve">None. This is the one hard rule. The MIT paper found no stacking type performed worse than having opposing skaters cancel out your goalie.</w:t>
      </w:r>
    </w:p>
    <w:p>
      <w:pPr>
        <w:spacing w:after="200"/>
      </w:pPr>
      <w:r>
        <w:rPr>
          <w:rFonts w:ascii="Arial" w:cs="Arial" w:eastAsia="Arial" w:hAnsi="Arial"/>
          <w:b/>
          <w:bCs/>
          <w:sz w:val="22"/>
          <w:szCs w:val="22"/>
        </w:rPr>
        <w:t xml:space="preserve">Note: </w:t>
      </w:r>
      <w:r>
        <w:rPr>
          <w:rFonts w:ascii="Arial" w:cs="Arial" w:eastAsia="Arial" w:hAnsi="Arial"/>
          <w:sz w:val="22"/>
          <w:szCs w:val="22"/>
        </w:rPr>
        <w:t xml:space="preserve">This is DIFFERENT from the opposing goalie leverage play. That play says: play the goalie who OPPOSES the chalk stack (a contrarian move). This rule says: once you’ve chosen your goalie, don’t put his opponents’ skaters in your lineup. Both can be true simultaneously.</w:t>
      </w:r>
    </w:p>
    <w:p>
      <w:pPr>
        <w:pStyle w:val="Heading1"/>
      </w:pPr>
      <w:r>
        <w:t xml:space="preserve">Rule 2: Line Stacking</w:t>
      </w:r>
    </w:p>
    <w:p>
      <w:pPr>
        <w:pStyle w:val="Heading3"/>
      </w:pPr>
      <w:r>
        <w:t xml:space="preserve">Include at least one complete forward line (all 3 players: C + 2W from the same line).</w:t>
      </w:r>
    </w:p>
    <w:p>
      <w:pPr>
        <w:spacing w:after="120"/>
      </w:pPr>
      <w:r>
        <w:rPr>
          <w:rFonts w:ascii="Arial" w:cs="Arial" w:eastAsia="Arial" w:hAnsi="Arial"/>
          <w:b/>
          <w:bCs/>
          <w:sz w:val="22"/>
          <w:szCs w:val="22"/>
        </w:rPr>
        <w:t xml:space="preserve">Source: </w:t>
      </w:r>
      <w:r>
        <w:rPr>
          <w:rFonts w:ascii="Arial" w:cs="Arial" w:eastAsia="Arial" w:hAnsi="Arial"/>
          <w:sz w:val="22"/>
          <w:szCs w:val="22"/>
        </w:rPr>
        <w:t xml:space="preserve">MIT paper Section 4.2 (Type 4 stacking outperformed all others across 38 contests). Our data: same-line teammate correlation r=0.067, same PP1 unit r=0.115.</w:t>
      </w:r>
    </w:p>
    <w:p>
      <w:pPr>
        <w:spacing w:after="120"/>
      </w:pPr>
      <w:r>
        <w:rPr>
          <w:rFonts w:ascii="Arial" w:cs="Arial" w:eastAsia="Arial" w:hAnsi="Arial"/>
          <w:b/>
          <w:bCs/>
          <w:sz w:val="22"/>
          <w:szCs w:val="22"/>
        </w:rPr>
        <w:t xml:space="preserve">Why: </w:t>
      </w:r>
      <w:r>
        <w:rPr>
          <w:rFonts w:ascii="Arial" w:cs="Arial" w:eastAsia="Arial" w:hAnsi="Arial"/>
          <w:sz w:val="22"/>
          <w:szCs w:val="22"/>
        </w:rPr>
        <w:t xml:space="preserve">DraftKings awards up to 7 points per goal (3 for goal + 2×2 for assists). All 7 points can land in a single lineup ONLY if all involved players are on that lineup. A complete line stack captures the full goal+assist chain. This is the #1 variance driver the MIT paper identified.</w:t>
      </w:r>
    </w:p>
    <w:p>
      <w:pPr>
        <w:spacing w:after="120"/>
      </w:pPr>
      <w:r>
        <w:rPr>
          <w:rFonts w:ascii="Arial" w:cs="Arial" w:eastAsia="Arial" w:hAnsi="Arial"/>
          <w:b/>
          <w:bCs/>
          <w:color w:val="F57F17"/>
          <w:sz w:val="22"/>
          <w:szCs w:val="22"/>
        </w:rPr>
        <w:t xml:space="preserve">Confidence: HIGH for the principle, MEDIUM for any specific line. </w:t>
      </w:r>
      <w:r>
        <w:rPr>
          <w:rFonts w:ascii="Arial" w:cs="Arial" w:eastAsia="Arial" w:hAnsi="Arial"/>
          <w:sz w:val="22"/>
          <w:szCs w:val="22"/>
        </w:rPr>
        <w:t xml:space="preserve">The math of correlated scoring is unambiguous. But WHICH line to stack is where the variance lives. Line 1 is the default but Line 2 can separate. The decision should be driven by game environment (implied total, pace, matchup) not by “always stack Line 1.”</w:t>
      </w:r>
    </w:p>
    <w:p>
      <w:pPr>
        <w:spacing w:after="200"/>
      </w:pPr>
      <w:r>
        <w:rPr>
          <w:rFonts w:ascii="Arial" w:cs="Arial" w:eastAsia="Arial" w:hAnsi="Arial"/>
          <w:b/>
          <w:bCs/>
          <w:sz w:val="22"/>
          <w:szCs w:val="22"/>
        </w:rPr>
        <w:t xml:space="preserve">Exception: </w:t>
      </w:r>
      <w:r>
        <w:rPr>
          <w:rFonts w:ascii="Arial" w:cs="Arial" w:eastAsia="Arial" w:hAnsi="Arial"/>
          <w:sz w:val="22"/>
          <w:szCs w:val="22"/>
        </w:rPr>
        <w:t xml:space="preserve">If salary forces you to break a line, keeping 2 of 3 still captures most of the correlation (2 pairs instead of 3). The MIT paper required at least two partial lines (2 of 3) as a fallback.</w:t>
      </w:r>
    </w:p>
    <w:p>
      <w:pPr>
        <w:pStyle w:val="Heading1"/>
      </w:pPr>
      <w:r>
        <w:t xml:space="preserve">Rule 3: PP1 Defensemen</w:t>
      </w:r>
    </w:p>
    <w:p>
      <w:pPr>
        <w:pStyle w:val="Heading3"/>
      </w:pPr>
      <w:r>
        <w:t xml:space="preserve">Prefer PP1 defensemen, but don’t overpay for the “obvious” one.</w:t>
      </w:r>
    </w:p>
    <w:p>
      <w:pPr>
        <w:spacing w:after="120"/>
      </w:pPr>
      <w:r>
        <w:rPr>
          <w:rFonts w:ascii="Arial" w:cs="Arial" w:eastAsia="Arial" w:hAnsi="Arial"/>
          <w:b/>
          <w:bCs/>
          <w:sz w:val="22"/>
          <w:szCs w:val="22"/>
        </w:rPr>
        <w:t xml:space="preserve">Source: </w:t>
      </w:r>
      <w:r>
        <w:rPr>
          <w:rFonts w:ascii="Arial" w:cs="Arial" w:eastAsia="Arial" w:hAnsi="Arial"/>
          <w:sz w:val="22"/>
          <w:szCs w:val="22"/>
        </w:rPr>
        <w:t xml:space="preserve">MIT paper Section 4.2 (defensemen stacking — only PP1 D). Our data: PP1 D avg 10.0 FPTS, std 7.4, P(20+) = 9.7% vs non-PP1 D avg 6.9, std 5.7, P(20+) = 2.6%.</w:t>
      </w:r>
    </w:p>
    <w:p>
      <w:pPr>
        <w:spacing w:after="120"/>
      </w:pPr>
      <w:r>
        <w:rPr>
          <w:rFonts w:ascii="Arial" w:cs="Arial" w:eastAsia="Arial" w:hAnsi="Arial"/>
          <w:b/>
          <w:bCs/>
          <w:sz w:val="22"/>
          <w:szCs w:val="22"/>
        </w:rPr>
        <w:t xml:space="preserve">Why: </w:t>
      </w:r>
      <w:r>
        <w:rPr>
          <w:rFonts w:ascii="Arial" w:cs="Arial" w:eastAsia="Arial" w:hAnsi="Arial"/>
          <w:sz w:val="22"/>
          <w:szCs w:val="22"/>
        </w:rPr>
        <w:t xml:space="preserve">PP1 defensemen get additional ice time on the power play, which means more shot attempts, more assists, and more points. They also create positive correlation with your PP1 forward stack. The MIT paper’s math shows this dual benefit: higher mean AND higher variance.</w:t>
      </w:r>
    </w:p>
    <w:p>
      <w:pPr>
        <w:spacing w:after="120"/>
      </w:pPr>
      <w:r>
        <w:rPr>
          <w:rFonts w:ascii="Arial" w:cs="Arial" w:eastAsia="Arial" w:hAnsi="Arial"/>
          <w:b/>
          <w:bCs/>
          <w:color w:val="E65100"/>
          <w:sz w:val="22"/>
          <w:szCs w:val="22"/>
        </w:rPr>
        <w:t xml:space="preserve">Confidence: HIGH for the general principle, LOW for blindly taking the most expensive PP1 D. </w:t>
      </w:r>
      <w:r>
        <w:rPr>
          <w:rFonts w:ascii="Arial" w:cs="Arial" w:eastAsia="Arial" w:hAnsi="Arial"/>
          <w:sz w:val="22"/>
          <w:szCs w:val="22"/>
        </w:rPr>
        <w:t xml:space="preserve">Here’s the tension: PP1 D is the right structural play, but the “obvious” PP1 D (Makar at $8.2K, 35% owned) is exactly the kind of chalk that kills your separator value. </w:t>
      </w:r>
    </w:p>
    <w:p>
      <w:pPr>
        <w:spacing w:after="120"/>
      </w:pPr>
      <w:r>
        <w:rPr>
          <w:rFonts w:ascii="Arial" w:cs="Arial" w:eastAsia="Arial" w:hAnsi="Arial"/>
          <w:b/>
          <w:bCs/>
          <w:sz w:val="22"/>
          <w:szCs w:val="22"/>
        </w:rPr>
        <w:t xml:space="preserve">The separator analysis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c>
          <w:tcPr>
            <w:tcW w:type="dxa" w:w="2800"/>
            <w:tcBorders>
              <w:top w:val="single" w:color="CCCCCC" w:sz="1"/>
              <w:left w:val="single" w:color="CCCCCC" w:sz="1"/>
              <w:bottom w:val="single" w:color="CCCCCC" w:sz="1"/>
              <w:right w:val="single" w:color="CCCCCC" w:sz="1"/>
            </w:tcBorders>
            <w:shd w:fill="1B3A4B" w:color="auto" w:val="clear"/>
            <w:tcMar>
              <w:top w:type="dxa" w:w="80"/>
              <w:left w:type="dxa" w:w="120"/>
              <w:bottom w:type="dxa" w:w="80"/>
              <w:right w:type="dxa" w:w="120"/>
            </w:tcMar>
          </w:tcPr>
          <w:p>
            <w:pPr>
              <w:spacing w:before="40" w:after="40"/>
            </w:pPr>
            <w:r>
              <w:rPr>
                <w:rFonts w:ascii="Arial" w:cs="Arial" w:eastAsia="Arial" w:hAnsi="Arial"/>
                <w:b/>
                <w:bCs/>
                <w:color w:val="FFFFFF"/>
                <w:sz w:val="20"/>
                <w:szCs w:val="20"/>
                <w:shd w:val="clear" w:color="auto" w:fill="auto"/>
              </w:rPr>
              <w:t xml:space="preserve">D Tier</w:t>
            </w:r>
          </w:p>
        </w:tc>
        <w:tc>
          <w:tcPr>
            <w:tcW w:type="dxa" w:w="1640"/>
            <w:tcBorders>
              <w:top w:val="single" w:color="CCCCCC" w:sz="1"/>
              <w:left w:val="single" w:color="CCCCCC" w:sz="1"/>
              <w:bottom w:val="single" w:color="CCCCCC" w:sz="1"/>
              <w:right w:val="single" w:color="CCCCCC" w:sz="1"/>
            </w:tcBorders>
            <w:shd w:fill="1B3A4B" w:color="auto" w:val="clear"/>
            <w:tcMar>
              <w:top w:type="dxa" w:w="80"/>
              <w:left w:type="dxa" w:w="120"/>
              <w:bottom w:type="dxa" w:w="80"/>
              <w:right w:type="dxa" w:w="120"/>
            </w:tcMar>
          </w:tcPr>
          <w:p>
            <w:pPr>
              <w:spacing w:before="40" w:after="40"/>
            </w:pPr>
            <w:r>
              <w:rPr>
                <w:rFonts w:ascii="Arial" w:cs="Arial" w:eastAsia="Arial" w:hAnsi="Arial"/>
                <w:b/>
                <w:bCs/>
                <w:color w:val="FFFFFF"/>
                <w:sz w:val="20"/>
                <w:szCs w:val="20"/>
                <w:shd w:val="clear" w:color="auto" w:fill="auto"/>
              </w:rPr>
              <w:t xml:space="preserve">Avg FPTS</w:t>
            </w:r>
          </w:p>
        </w:tc>
        <w:tc>
          <w:tcPr>
            <w:tcW w:type="dxa" w:w="1640"/>
            <w:tcBorders>
              <w:top w:val="single" w:color="CCCCCC" w:sz="1"/>
              <w:left w:val="single" w:color="CCCCCC" w:sz="1"/>
              <w:bottom w:val="single" w:color="CCCCCC" w:sz="1"/>
              <w:right w:val="single" w:color="CCCCCC" w:sz="1"/>
            </w:tcBorders>
            <w:shd w:fill="1B3A4B" w:color="auto" w:val="clear"/>
            <w:tcMar>
              <w:top w:type="dxa" w:w="80"/>
              <w:left w:type="dxa" w:w="120"/>
              <w:bottom w:type="dxa" w:w="80"/>
              <w:right w:type="dxa" w:w="120"/>
            </w:tcMar>
          </w:tcPr>
          <w:p>
            <w:pPr>
              <w:spacing w:before="40" w:after="40"/>
            </w:pPr>
            <w:r>
              <w:rPr>
                <w:rFonts w:ascii="Arial" w:cs="Arial" w:eastAsia="Arial" w:hAnsi="Arial"/>
                <w:b/>
                <w:bCs/>
                <w:color w:val="FFFFFF"/>
                <w:sz w:val="20"/>
                <w:szCs w:val="20"/>
                <w:shd w:val="clear" w:color="auto" w:fill="auto"/>
              </w:rPr>
              <w:t xml:space="preserve">P(20+)</w:t>
            </w:r>
          </w:p>
        </w:tc>
        <w:tc>
          <w:tcPr>
            <w:tcW w:type="dxa" w:w="1640"/>
            <w:tcBorders>
              <w:top w:val="single" w:color="CCCCCC" w:sz="1"/>
              <w:left w:val="single" w:color="CCCCCC" w:sz="1"/>
              <w:bottom w:val="single" w:color="CCCCCC" w:sz="1"/>
              <w:right w:val="single" w:color="CCCCCC" w:sz="1"/>
            </w:tcBorders>
            <w:shd w:fill="1B3A4B" w:color="auto" w:val="clear"/>
            <w:tcMar>
              <w:top w:type="dxa" w:w="80"/>
              <w:left w:type="dxa" w:w="120"/>
              <w:bottom w:type="dxa" w:w="80"/>
              <w:right w:type="dxa" w:w="120"/>
            </w:tcMar>
          </w:tcPr>
          <w:p>
            <w:pPr>
              <w:spacing w:before="40" w:after="40"/>
            </w:pPr>
            <w:r>
              <w:rPr>
                <w:rFonts w:ascii="Arial" w:cs="Arial" w:eastAsia="Arial" w:hAnsi="Arial"/>
                <w:b/>
                <w:bCs/>
                <w:color w:val="FFFFFF"/>
                <w:sz w:val="20"/>
                <w:szCs w:val="20"/>
                <w:shd w:val="clear" w:color="auto" w:fill="auto"/>
              </w:rPr>
              <w:t xml:space="preserve">Sep Rate</w:t>
            </w:r>
          </w:p>
        </w:tc>
        <w:tc>
          <w:tcPr>
            <w:tcW w:type="dxa" w:w="1640"/>
            <w:tcBorders>
              <w:top w:val="single" w:color="CCCCCC" w:sz="1"/>
              <w:left w:val="single" w:color="CCCCCC" w:sz="1"/>
              <w:bottom w:val="single" w:color="CCCCCC" w:sz="1"/>
              <w:right w:val="single" w:color="CCCCCC" w:sz="1"/>
            </w:tcBorders>
            <w:shd w:fill="1B3A4B" w:color="auto" w:val="clear"/>
            <w:tcMar>
              <w:top w:type="dxa" w:w="80"/>
              <w:left w:type="dxa" w:w="120"/>
              <w:bottom w:type="dxa" w:w="80"/>
              <w:right w:type="dxa" w:w="120"/>
            </w:tcMar>
          </w:tcPr>
          <w:p>
            <w:pPr>
              <w:spacing w:before="40" w:after="40"/>
            </w:pPr>
            <w:r>
              <w:rPr>
                <w:rFonts w:ascii="Arial" w:cs="Arial" w:eastAsia="Arial" w:hAnsi="Arial"/>
                <w:b/>
                <w:bCs/>
                <w:color w:val="FFFFFF"/>
                <w:sz w:val="20"/>
                <w:szCs w:val="20"/>
                <w:shd w:val="clear" w:color="auto" w:fill="auto"/>
              </w:rPr>
              <w:t xml:space="preserve">Avg Own</w:t>
            </w:r>
          </w:p>
        </w:tc>
      </w:tr>
      <w:tr>
        <w:tc>
          <w:tcPr>
            <w:tcW w:type="dxa" w:w="2800"/>
            <w:tcBorders>
              <w:top w:val="single" w:color="CCCCCC" w:sz="1"/>
              <w:left w:val="single" w:color="CCCCCC" w:sz="1"/>
              <w:bottom w:val="single" w:color="CCCCCC" w:sz="1"/>
              <w:right w:val="single" w:color="CCCCCC" w:sz="1"/>
            </w:tcBorders>
            <w:shd w:fill="E8F5E9" w:color="auto" w:val="clear"/>
            <w:tcMar>
              <w:top w:type="dxa" w:w="80"/>
              <w:left w:type="dxa" w:w="120"/>
              <w:bottom w:type="dxa" w:w="80"/>
              <w:right w:type="dxa" w:w="120"/>
            </w:tcMar>
          </w:tcPr>
          <w:p>
            <w:pPr>
              <w:spacing w:before="40" w:after="40"/>
            </w:pPr>
            <w:r>
              <w:rPr>
                <w:rFonts w:ascii="Arial" w:cs="Arial" w:eastAsia="Arial" w:hAnsi="Arial"/>
                <w:sz w:val="20"/>
                <w:szCs w:val="20"/>
                <w:shd w:val="clear" w:color="auto" w:fill="auto"/>
              </w:rPr>
              <w:t xml:space="preserve">PP1 D, &lt;10% owned</w:t>
            </w:r>
          </w:p>
        </w:tc>
        <w:tc>
          <w:tcPr>
            <w:tcW w:type="dxa" w:w="1640"/>
            <w:tcBorders>
              <w:top w:val="single" w:color="CCCCCC" w:sz="1"/>
              <w:left w:val="single" w:color="CCCCCC" w:sz="1"/>
              <w:bottom w:val="single" w:color="CCCCCC" w:sz="1"/>
              <w:right w:val="single" w:color="CCCCCC" w:sz="1"/>
            </w:tcBorders>
            <w:shd w:fill="E8F5E9" w:color="auto" w:val="clear"/>
            <w:tcMar>
              <w:top w:type="dxa" w:w="80"/>
              <w:left w:type="dxa" w:w="120"/>
              <w:bottom w:type="dxa" w:w="80"/>
              <w:right w:type="dxa" w:w="120"/>
            </w:tcMar>
          </w:tcPr>
          <w:p>
            <w:pPr>
              <w:spacing w:before="40" w:after="40"/>
            </w:pPr>
            <w:r>
              <w:rPr>
                <w:rFonts w:ascii="Arial" w:cs="Arial" w:eastAsia="Arial" w:hAnsi="Arial"/>
                <w:sz w:val="20"/>
                <w:szCs w:val="20"/>
                <w:shd w:val="clear" w:color="auto" w:fill="auto"/>
              </w:rPr>
              <w:t xml:space="preserve">10.2</w:t>
            </w:r>
          </w:p>
        </w:tc>
        <w:tc>
          <w:tcPr>
            <w:tcW w:type="dxa" w:w="1640"/>
            <w:tcBorders>
              <w:top w:val="single" w:color="CCCCCC" w:sz="1"/>
              <w:left w:val="single" w:color="CCCCCC" w:sz="1"/>
              <w:bottom w:val="single" w:color="CCCCCC" w:sz="1"/>
              <w:right w:val="single" w:color="CCCCCC" w:sz="1"/>
            </w:tcBorders>
            <w:shd w:fill="E8F5E9" w:color="auto" w:val="clear"/>
            <w:tcMar>
              <w:top w:type="dxa" w:w="80"/>
              <w:left w:type="dxa" w:w="120"/>
              <w:bottom w:type="dxa" w:w="80"/>
              <w:right w:type="dxa" w:w="120"/>
            </w:tcMar>
          </w:tcPr>
          <w:p>
            <w:pPr>
              <w:spacing w:before="40" w:after="40"/>
            </w:pPr>
            <w:r>
              <w:rPr>
                <w:rFonts w:ascii="Arial" w:cs="Arial" w:eastAsia="Arial" w:hAnsi="Arial"/>
                <w:sz w:val="20"/>
                <w:szCs w:val="20"/>
                <w:shd w:val="clear" w:color="auto" w:fill="auto"/>
              </w:rPr>
              <w:t xml:space="preserve">10.1%</w:t>
            </w:r>
          </w:p>
        </w:tc>
        <w:tc>
          <w:tcPr>
            <w:tcW w:type="dxa" w:w="1640"/>
            <w:tcBorders>
              <w:top w:val="single" w:color="CCCCCC" w:sz="1"/>
              <w:left w:val="single" w:color="CCCCCC" w:sz="1"/>
              <w:bottom w:val="single" w:color="CCCCCC" w:sz="1"/>
              <w:right w:val="single" w:color="CCCCCC" w:sz="1"/>
            </w:tcBorders>
            <w:shd w:fill="E8F5E9" w:color="auto" w:val="clear"/>
            <w:tcMar>
              <w:top w:type="dxa" w:w="80"/>
              <w:left w:type="dxa" w:w="120"/>
              <w:bottom w:type="dxa" w:w="80"/>
              <w:right w:type="dxa" w:w="120"/>
            </w:tcMar>
          </w:tcPr>
          <w:p>
            <w:pPr>
              <w:spacing w:before="40" w:after="40"/>
            </w:pPr>
            <w:r>
              <w:rPr>
                <w:rFonts w:ascii="Arial" w:cs="Arial" w:eastAsia="Arial" w:hAnsi="Arial"/>
                <w:sz w:val="20"/>
                <w:szCs w:val="20"/>
                <w:shd w:val="clear" w:color="auto" w:fill="auto"/>
              </w:rPr>
              <w:t xml:space="preserve">12.1%</w:t>
            </w:r>
          </w:p>
        </w:tc>
        <w:tc>
          <w:tcPr>
            <w:tcW w:type="dxa" w:w="1640"/>
            <w:tcBorders>
              <w:top w:val="single" w:color="CCCCCC" w:sz="1"/>
              <w:left w:val="single" w:color="CCCCCC" w:sz="1"/>
              <w:bottom w:val="single" w:color="CCCCCC" w:sz="1"/>
              <w:right w:val="single" w:color="CCCCCC" w:sz="1"/>
            </w:tcBorders>
            <w:shd w:fill="E8F5E9" w:color="auto" w:val="clear"/>
            <w:tcMar>
              <w:top w:type="dxa" w:w="80"/>
              <w:left w:type="dxa" w:w="120"/>
              <w:bottom w:type="dxa" w:w="80"/>
              <w:right w:type="dxa" w:w="120"/>
            </w:tcMar>
          </w:tcPr>
          <w:p>
            <w:pPr>
              <w:spacing w:before="40" w:after="40"/>
            </w:pPr>
            <w:r>
              <w:rPr>
                <w:rFonts w:ascii="Arial" w:cs="Arial" w:eastAsia="Arial" w:hAnsi="Arial"/>
                <w:sz w:val="20"/>
                <w:szCs w:val="20"/>
                <w:shd w:val="clear" w:color="auto" w:fill="auto"/>
              </w:rPr>
              <w:t xml:space="preserve">4.1%</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20"/>
                <w:szCs w:val="20"/>
              </w:rPr>
              <w:t xml:space="preserve">PP1 D, 10-25% owned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20"/>
                <w:szCs w:val="20"/>
              </w:rPr>
              <w:t xml:space="preserve">10.5</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20"/>
                <w:szCs w:val="20"/>
              </w:rPr>
              <w:t xml:space="preserve">10.8%</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20"/>
                <w:szCs w:val="20"/>
              </w:rPr>
              <w:t xml:space="preserve">9.3%</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20"/>
                <w:szCs w:val="20"/>
              </w:rPr>
              <w:t xml:space="preserve">16.2%</w:t>
            </w:r>
          </w:p>
        </w:tc>
      </w:tr>
      <w:tr>
        <w:tc>
          <w:tcPr>
            <w:tcW w:type="dxa" w:w="2800"/>
            <w:tcBorders>
              <w:top w:val="single" w:color="CCCCCC" w:sz="1"/>
              <w:left w:val="single" w:color="CCCCCC" w:sz="1"/>
              <w:bottom w:val="single" w:color="CCCCCC" w:sz="1"/>
              <w:right w:val="single" w:color="CCCCCC" w:sz="1"/>
            </w:tcBorders>
            <w:shd w:fill="FFF3E0" w:color="auto" w:val="clear"/>
            <w:tcMar>
              <w:top w:type="dxa" w:w="80"/>
              <w:left w:type="dxa" w:w="120"/>
              <w:bottom w:type="dxa" w:w="80"/>
              <w:right w:type="dxa" w:w="120"/>
            </w:tcMar>
          </w:tcPr>
          <w:p>
            <w:pPr>
              <w:spacing w:before="40" w:after="40"/>
            </w:pPr>
            <w:r>
              <w:rPr>
                <w:rFonts w:ascii="Arial" w:cs="Arial" w:eastAsia="Arial" w:hAnsi="Arial"/>
                <w:sz w:val="20"/>
                <w:szCs w:val="20"/>
                <w:shd w:val="clear" w:color="auto" w:fill="auto"/>
              </w:rPr>
              <w:t xml:space="preserve">PP1 D, 25%+ owned</w:t>
            </w:r>
          </w:p>
        </w:tc>
        <w:tc>
          <w:tcPr>
            <w:tcW w:type="dxa" w:w="1640"/>
            <w:tcBorders>
              <w:top w:val="single" w:color="CCCCCC" w:sz="1"/>
              <w:left w:val="single" w:color="CCCCCC" w:sz="1"/>
              <w:bottom w:val="single" w:color="CCCCCC" w:sz="1"/>
              <w:right w:val="single" w:color="CCCCCC" w:sz="1"/>
            </w:tcBorders>
            <w:shd w:fill="FFF3E0" w:color="auto" w:val="clear"/>
            <w:tcMar>
              <w:top w:type="dxa" w:w="80"/>
              <w:left w:type="dxa" w:w="120"/>
              <w:bottom w:type="dxa" w:w="80"/>
              <w:right w:type="dxa" w:w="120"/>
            </w:tcMar>
          </w:tcPr>
          <w:p>
            <w:pPr>
              <w:spacing w:before="40" w:after="40"/>
            </w:pPr>
            <w:r>
              <w:rPr>
                <w:rFonts w:ascii="Arial" w:cs="Arial" w:eastAsia="Arial" w:hAnsi="Arial"/>
                <w:sz w:val="20"/>
                <w:szCs w:val="20"/>
                <w:shd w:val="clear" w:color="auto" w:fill="auto"/>
              </w:rPr>
              <w:t xml:space="preserve">9.1</w:t>
            </w:r>
          </w:p>
        </w:tc>
        <w:tc>
          <w:tcPr>
            <w:tcW w:type="dxa" w:w="1640"/>
            <w:tcBorders>
              <w:top w:val="single" w:color="CCCCCC" w:sz="1"/>
              <w:left w:val="single" w:color="CCCCCC" w:sz="1"/>
              <w:bottom w:val="single" w:color="CCCCCC" w:sz="1"/>
              <w:right w:val="single" w:color="CCCCCC" w:sz="1"/>
            </w:tcBorders>
            <w:shd w:fill="FFF3E0" w:color="auto" w:val="clear"/>
            <w:tcMar>
              <w:top w:type="dxa" w:w="80"/>
              <w:left w:type="dxa" w:w="120"/>
              <w:bottom w:type="dxa" w:w="80"/>
              <w:right w:type="dxa" w:w="120"/>
            </w:tcMar>
          </w:tcPr>
          <w:p>
            <w:pPr>
              <w:spacing w:before="40" w:after="40"/>
            </w:pPr>
            <w:r>
              <w:rPr>
                <w:rFonts w:ascii="Arial" w:cs="Arial" w:eastAsia="Arial" w:hAnsi="Arial"/>
                <w:sz w:val="20"/>
                <w:szCs w:val="20"/>
                <w:shd w:val="clear" w:color="auto" w:fill="auto"/>
              </w:rPr>
              <w:t xml:space="preserve">8.7%</w:t>
            </w:r>
          </w:p>
        </w:tc>
        <w:tc>
          <w:tcPr>
            <w:tcW w:type="dxa" w:w="1640"/>
            <w:tcBorders>
              <w:top w:val="single" w:color="CCCCCC" w:sz="1"/>
              <w:left w:val="single" w:color="CCCCCC" w:sz="1"/>
              <w:bottom w:val="single" w:color="CCCCCC" w:sz="1"/>
              <w:right w:val="single" w:color="CCCCCC" w:sz="1"/>
            </w:tcBorders>
            <w:shd w:fill="FFF3E0" w:color="auto" w:val="clear"/>
            <w:tcMar>
              <w:top w:type="dxa" w:w="80"/>
              <w:left w:type="dxa" w:w="120"/>
              <w:bottom w:type="dxa" w:w="80"/>
              <w:right w:type="dxa" w:w="120"/>
            </w:tcMar>
          </w:tcPr>
          <w:p>
            <w:pPr>
              <w:spacing w:before="40" w:after="40"/>
            </w:pPr>
            <w:r>
              <w:rPr>
                <w:rFonts w:ascii="Arial" w:cs="Arial" w:eastAsia="Arial" w:hAnsi="Arial"/>
                <w:sz w:val="20"/>
                <w:szCs w:val="20"/>
                <w:shd w:val="clear" w:color="auto" w:fill="auto"/>
              </w:rPr>
              <w:t xml:space="preserve">5.1%</w:t>
            </w:r>
          </w:p>
        </w:tc>
        <w:tc>
          <w:tcPr>
            <w:tcW w:type="dxa" w:w="1640"/>
            <w:tcBorders>
              <w:top w:val="single" w:color="CCCCCC" w:sz="1"/>
              <w:left w:val="single" w:color="CCCCCC" w:sz="1"/>
              <w:bottom w:val="single" w:color="CCCCCC" w:sz="1"/>
              <w:right w:val="single" w:color="CCCCCC" w:sz="1"/>
            </w:tcBorders>
            <w:shd w:fill="FFF3E0" w:color="auto" w:val="clear"/>
            <w:tcMar>
              <w:top w:type="dxa" w:w="80"/>
              <w:left w:type="dxa" w:w="120"/>
              <w:bottom w:type="dxa" w:w="80"/>
              <w:right w:type="dxa" w:w="120"/>
            </w:tcMar>
          </w:tcPr>
          <w:p>
            <w:pPr>
              <w:spacing w:before="40" w:after="40"/>
            </w:pPr>
            <w:r>
              <w:rPr>
                <w:rFonts w:ascii="Arial" w:cs="Arial" w:eastAsia="Arial" w:hAnsi="Arial"/>
                <w:sz w:val="20"/>
                <w:szCs w:val="20"/>
                <w:shd w:val="clear" w:color="auto" w:fill="auto"/>
              </w:rPr>
              <w:t xml:space="preserve">33.8%</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20"/>
                <w:szCs w:val="20"/>
              </w:rPr>
              <w:t xml:space="preserve">Non-PP1 D</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20"/>
                <w:szCs w:val="20"/>
              </w:rPr>
              <w:t xml:space="preserve">6.9</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20"/>
                <w:szCs w:val="20"/>
              </w:rPr>
              <w:t xml:space="preserve">2.6%</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20"/>
                <w:szCs w:val="20"/>
              </w:rPr>
              <w:t xml:space="preserve">1.9%</w:t>
            </w:r>
          </w:p>
        </w:tc>
        <w:tc>
          <w:tcPr>
            <w:tcW w:type="dxa" w:w="1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20"/>
                <w:szCs w:val="20"/>
              </w:rPr>
              <w:t xml:space="preserve">4.4%</w:t>
            </w:r>
          </w:p>
        </w:tc>
      </w:tr>
    </w:tbl>
    <w:p>
      <w:pPr>
        <w:spacing w:before="120" w:after="200"/>
      </w:pPr>
      <w:r>
        <w:rPr>
          <w:rFonts w:ascii="Arial" w:cs="Arial" w:eastAsia="Arial" w:hAnsi="Arial"/>
          <w:sz w:val="22"/>
          <w:szCs w:val="22"/>
        </w:rPr>
        <w:t xml:space="preserve">The sweet spot is the under-owned PP1 D: 12.1% separator rate at 4.1% average ownership. The overpriced chalk PP1 D (25%+ owned) has a LOWER separator rate (5.1%) than the under-owned version. Use PP1 D status as a filter, then apply ownership leverage to pick which one.</w:t>
      </w:r>
    </w:p>
    <w:p>
      <w:pPr>
        <w:pStyle w:val="Heading1"/>
      </w:pPr>
      <w:r>
        <w:t xml:space="preserve">Rule 4: Team Concentration</w:t>
      </w:r>
    </w:p>
    <w:p>
      <w:pPr>
        <w:pStyle w:val="Heading3"/>
      </w:pPr>
      <w:r>
        <w:t xml:space="preserve">Target 3–4 teams in a lineup. Adjust by slate size.</w:t>
      </w:r>
    </w:p>
    <w:p>
      <w:pPr>
        <w:spacing w:after="120"/>
      </w:pPr>
      <w:r>
        <w:rPr>
          <w:rFonts w:ascii="Arial" w:cs="Arial" w:eastAsia="Arial" w:hAnsi="Arial"/>
          <w:b/>
          <w:bCs/>
          <w:sz w:val="22"/>
          <w:szCs w:val="22"/>
        </w:rPr>
        <w:t xml:space="preserve">Source: </w:t>
      </w:r>
      <w:r>
        <w:rPr>
          <w:rFonts w:ascii="Arial" w:cs="Arial" w:eastAsia="Arial" w:hAnsi="Arial"/>
          <w:sz w:val="22"/>
          <w:szCs w:val="22"/>
        </w:rPr>
        <w:t xml:space="preserve">MIT paper Section 5.3 (Type 4 used exactly 3 teams). Their overlap analysis found that diversity should scale with slate size.</w:t>
      </w:r>
    </w:p>
    <w:p>
      <w:pPr>
        <w:spacing w:after="120"/>
      </w:pPr>
      <w:r>
        <w:rPr>
          <w:rFonts w:ascii="Arial" w:cs="Arial" w:eastAsia="Arial" w:hAnsi="Arial"/>
          <w:b/>
          <w:bCs/>
          <w:sz w:val="22"/>
          <w:szCs w:val="22"/>
        </w:rPr>
        <w:t xml:space="preserve">Why: </w:t>
      </w:r>
      <w:r>
        <w:rPr>
          <w:rFonts w:ascii="Arial" w:cs="Arial" w:eastAsia="Arial" w:hAnsi="Arial"/>
          <w:sz w:val="22"/>
          <w:szCs w:val="22"/>
        </w:rPr>
        <w:t xml:space="preserve">More teammates on the same lineup = more positive correlation = more variance. But too few teams creates salary problems and concentrates all risk in one game. Three teams with a 5-man primary stack (3F + 2D from one team, or 3F + G + 1D) plus a 3-man secondary stack is the structure the MIT paper found optimal.</w:t>
      </w:r>
    </w:p>
    <w:p>
      <w:pPr>
        <w:spacing w:after="120"/>
      </w:pPr>
      <w:r>
        <w:rPr>
          <w:rFonts w:ascii="Arial" w:cs="Arial" w:eastAsia="Arial" w:hAnsi="Arial"/>
          <w:b/>
          <w:bCs/>
          <w:color w:val="F57F17"/>
          <w:sz w:val="22"/>
          <w:szCs w:val="22"/>
        </w:rPr>
        <w:t xml:space="preserve">Confidence: MEDIUM. </w:t>
      </w:r>
      <w:r>
        <w:rPr>
          <w:rFonts w:ascii="Arial" w:cs="Arial" w:eastAsia="Arial" w:hAnsi="Arial"/>
          <w:sz w:val="22"/>
          <w:szCs w:val="22"/>
        </w:rPr>
        <w:t xml:space="preserve">The MIT paper’s finding was based on multi-entry in large-field contests. For single entry, the exact number of teams matters less than getting the RIGHT teams. A 2-team lineup from two high-total games could outperform a 4-team lineup from mediocre games.</w:t>
      </w:r>
    </w:p>
    <w:p>
      <w:pPr>
        <w:spacing w:after="120"/>
      </w:pPr>
      <w:r>
        <w:rPr>
          <w:rFonts w:ascii="Arial" w:cs="Arial" w:eastAsia="Arial" w:hAnsi="Arial"/>
          <w:b/>
          <w:bCs/>
          <w:sz w:val="22"/>
          <w:szCs w:val="22"/>
        </w:rPr>
        <w:t xml:space="preserve">Slate-size adjustment (from MIT paper):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B3A4B" w:color="auto" w:val="clear"/>
            <w:tcMar>
              <w:top w:type="dxa" w:w="80"/>
              <w:left w:type="dxa" w:w="120"/>
              <w:bottom w:type="dxa" w:w="80"/>
              <w:right w:type="dxa" w:w="120"/>
            </w:tcMar>
          </w:tcPr>
          <w:p>
            <w:pPr>
              <w:spacing w:before="40" w:after="40"/>
            </w:pPr>
            <w:r>
              <w:rPr>
                <w:rFonts w:ascii="Arial" w:cs="Arial" w:eastAsia="Arial" w:hAnsi="Arial"/>
                <w:b/>
                <w:bCs/>
                <w:color w:val="FFFFFF"/>
                <w:sz w:val="20"/>
                <w:szCs w:val="20"/>
                <w:shd w:val="clear" w:color="auto" w:fill="auto"/>
              </w:rPr>
              <w:t xml:space="preserve">Games on Slate</w:t>
            </w:r>
          </w:p>
        </w:tc>
        <w:tc>
          <w:tcPr>
            <w:tcW w:type="dxa" w:w="3510"/>
            <w:tcBorders>
              <w:top w:val="single" w:color="CCCCCC" w:sz="1"/>
              <w:left w:val="single" w:color="CCCCCC" w:sz="1"/>
              <w:bottom w:val="single" w:color="CCCCCC" w:sz="1"/>
              <w:right w:val="single" w:color="CCCCCC" w:sz="1"/>
            </w:tcBorders>
            <w:shd w:fill="1B3A4B" w:color="auto" w:val="clear"/>
            <w:tcMar>
              <w:top w:type="dxa" w:w="80"/>
              <w:left w:type="dxa" w:w="120"/>
              <w:bottom w:type="dxa" w:w="80"/>
              <w:right w:type="dxa" w:w="120"/>
            </w:tcMar>
          </w:tcPr>
          <w:p>
            <w:pPr>
              <w:spacing w:before="40" w:after="40"/>
            </w:pPr>
            <w:r>
              <w:rPr>
                <w:rFonts w:ascii="Arial" w:cs="Arial" w:eastAsia="Arial" w:hAnsi="Arial"/>
                <w:b/>
                <w:bCs/>
                <w:color w:val="FFFFFF"/>
                <w:sz w:val="20"/>
                <w:szCs w:val="20"/>
                <w:shd w:val="clear" w:color="auto" w:fill="auto"/>
              </w:rPr>
              <w:t xml:space="preserve">Optimal Overlap*</w:t>
            </w:r>
          </w:p>
        </w:tc>
        <w:tc>
          <w:tcPr>
            <w:tcW w:type="dxa" w:w="3510"/>
            <w:tcBorders>
              <w:top w:val="single" w:color="CCCCCC" w:sz="1"/>
              <w:left w:val="single" w:color="CCCCCC" w:sz="1"/>
              <w:bottom w:val="single" w:color="CCCCCC" w:sz="1"/>
              <w:right w:val="single" w:color="CCCCCC" w:sz="1"/>
            </w:tcBorders>
            <w:shd w:fill="1B3A4B" w:color="auto" w:val="clear"/>
            <w:tcMar>
              <w:top w:type="dxa" w:w="80"/>
              <w:left w:type="dxa" w:w="120"/>
              <w:bottom w:type="dxa" w:w="80"/>
              <w:right w:type="dxa" w:w="120"/>
            </w:tcMar>
          </w:tcPr>
          <w:p>
            <w:pPr>
              <w:spacing w:before="40" w:after="40"/>
            </w:pPr>
            <w:r>
              <w:rPr>
                <w:rFonts w:ascii="Arial" w:cs="Arial" w:eastAsia="Arial" w:hAnsi="Arial"/>
                <w:b/>
                <w:bCs/>
                <w:color w:val="FFFFFF"/>
                <w:sz w:val="20"/>
                <w:szCs w:val="20"/>
                <w:shd w:val="clear" w:color="auto" w:fill="auto"/>
              </w:rPr>
              <w:t xml:space="preserve">Translation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20"/>
                <w:szCs w:val="20"/>
              </w:rPr>
              <w:t xml:space="preserve">&lt;4 games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20"/>
                <w:szCs w:val="20"/>
              </w:rPr>
              <w:t xml:space="preserve">High (7 of 9 shared)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20"/>
                <w:szCs w:val="20"/>
              </w:rPr>
              <w:t xml:space="preserve">Small pool — concentrate in best game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20"/>
                <w:szCs w:val="20"/>
              </w:rPr>
              <w:t xml:space="preserve">4–6 games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20"/>
                <w:szCs w:val="20"/>
              </w:rPr>
              <w:t xml:space="preserve">Medium (5–6 shared)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20"/>
                <w:szCs w:val="20"/>
              </w:rPr>
              <w:t xml:space="preserve">Some diversity, but still focused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20"/>
                <w:szCs w:val="20"/>
              </w:rPr>
              <w:t xml:space="preserve">7–9 games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20"/>
                <w:szCs w:val="20"/>
              </w:rPr>
              <w:t xml:space="preserve">Medium-low (5 shared)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20"/>
                <w:szCs w:val="20"/>
              </w:rPr>
              <w:t xml:space="preserve">Diversify across 2 good games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20"/>
                <w:szCs w:val="20"/>
              </w:rPr>
              <w:t xml:space="preserve">&gt;9 games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20"/>
                <w:szCs w:val="20"/>
              </w:rPr>
              <w:t xml:space="preserve">Low (4 shared)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20"/>
                <w:szCs w:val="20"/>
              </w:rPr>
              <w:t xml:space="preserve">Wide slate — multiple good games exist</w:t>
            </w:r>
          </w:p>
        </w:tc>
      </w:tr>
    </w:tbl>
    <w:p>
      <w:pPr>
        <w:spacing w:before="80" w:after="200"/>
      </w:pPr>
      <w:r>
        <w:rPr>
          <w:rFonts w:ascii="Arial" w:cs="Arial" w:eastAsia="Arial" w:hAnsi="Arial"/>
          <w:i/>
          <w:iCs/>
          <w:color w:val="666666"/>
          <w:sz w:val="18"/>
          <w:szCs w:val="18"/>
        </w:rPr>
        <w:t xml:space="preserve">*Overlap = players shared between lineups. For single entry, translate as: on small slates, concentrate harder in one game. On large slates, you can afford to split across games because more variance exists in the player pool.</w:t>
      </w:r>
    </w:p>
    <w:p>
      <w:r>
        <w:br w:type="page"/>
      </w:r>
    </w:p>
    <w:p>
      <w:pPr>
        <w:pStyle w:val="Heading1"/>
      </w:pPr>
      <w:r>
        <w:t xml:space="preserve">Rule 5: The Chalk Ceiling Problem</w:t>
      </w:r>
    </w:p>
    <w:p>
      <w:pPr>
        <w:pStyle w:val="Heading3"/>
      </w:pPr>
      <w:r>
        <w:t xml:space="preserve">Don’t blindly fade players whose ceilings are unreachable by cheaper alternatives.</w:t>
      </w:r>
    </w:p>
    <w:p>
      <w:pPr>
        <w:spacing w:after="120"/>
      </w:pPr>
      <w:r>
        <w:rPr>
          <w:rFonts w:ascii="Arial" w:cs="Arial" w:eastAsia="Arial" w:hAnsi="Arial"/>
          <w:b/>
          <w:bCs/>
          <w:sz w:val="22"/>
          <w:szCs w:val="22"/>
        </w:rPr>
        <w:t xml:space="preserve">Source: </w:t>
      </w:r>
      <w:r>
        <w:rPr>
          <w:rFonts w:ascii="Arial" w:cs="Arial" w:eastAsia="Arial" w:hAnsi="Arial"/>
          <w:sz w:val="22"/>
          <w:szCs w:val="22"/>
        </w:rPr>
        <w:t xml:space="preserve">Our backtest + 4for4 GPP Leverage framework. 88% of first-place Millionaire Maker lineups contained at least one player with 25%+ ownership.</w:t>
      </w:r>
    </w:p>
    <w:p>
      <w:pPr>
        <w:spacing w:after="120"/>
      </w:pPr>
      <w:r>
        <w:rPr>
          <w:rFonts w:ascii="Arial" w:cs="Arial" w:eastAsia="Arial" w:hAnsi="Arial"/>
          <w:b/>
          <w:bCs/>
          <w:sz w:val="22"/>
          <w:szCs w:val="22"/>
        </w:rPr>
        <w:t xml:space="preserve">The data: </w:t>
      </w:r>
      <w:r>
        <w:rPr>
          <w:rFonts w:ascii="Arial" w:cs="Arial" w:eastAsia="Arial" w:hAnsi="Arial"/>
          <w:sz w:val="22"/>
          <w:szCs w:val="22"/>
        </w:rPr>
        <w:t xml:space="preserve">$9K+ players score 40+ on 9.4% of slates. When they do, the best $8-9K replacement averages only 30.1 FPTS (13.7 point gap). No $5-6K player matched them. But $8K+ players also bust below 10 FPTS 40% of the time.</w:t>
      </w:r>
    </w:p>
    <w:p>
      <w:pPr>
        <w:spacing w:after="120"/>
      </w:pPr>
      <w:r>
        <w:rPr>
          <w:rFonts w:ascii="Arial" w:cs="Arial" w:eastAsia="Arial" w:hAnsi="Arial"/>
          <w:b/>
          <w:bCs/>
          <w:sz w:val="22"/>
          <w:szCs w:val="22"/>
        </w:rPr>
        <w:t xml:space="preserve">The framework: </w:t>
      </w:r>
      <w:r>
        <w:rPr>
          <w:rFonts w:ascii="Arial" w:cs="Arial" w:eastAsia="Arial" w:hAnsi="Arial"/>
          <w:sz w:val="22"/>
          <w:szCs w:val="22"/>
        </w:rPr>
        <w:t xml:space="preserve">Use GPP Leverage Score (LEV = implied ownership / projected ownership). If LEV &gt; 1.0 for a chalk player, the field is UNDER-owning them relative to their probability of being a winning play. Include them and find separation elsewhere. If LEV &lt; 0.8, the field is over-owning them and you have leverage in fading.</w:t>
      </w:r>
    </w:p>
    <w:p>
      <w:pPr>
        <w:spacing w:after="120"/>
      </w:pPr>
      <w:r>
        <w:rPr>
          <w:rFonts w:ascii="Arial" w:cs="Arial" w:eastAsia="Arial" w:hAnsi="Arial"/>
          <w:b/>
          <w:bCs/>
          <w:color w:val="F57F17"/>
          <w:sz w:val="22"/>
          <w:szCs w:val="22"/>
        </w:rPr>
        <w:t xml:space="preserve">Confidence: HIGH for the concept, slate-dependent for execution. </w:t>
      </w:r>
      <w:r>
        <w:rPr>
          <w:rFonts w:ascii="Arial" w:cs="Arial" w:eastAsia="Arial" w:hAnsi="Arial"/>
          <w:sz w:val="22"/>
          <w:szCs w:val="22"/>
        </w:rPr>
        <w:t xml:space="preserve">The must-have detection system identifies these players pre-game: $8K+, PP1, projection gap ≥3.0 from #2 at position, ownership ≥25%. When must-haves exist, include them and go contrarian at every other position.</w:t>
      </w:r>
    </w:p>
    <w:p>
      <w:pPr>
        <w:pStyle w:val="Heading1"/>
      </w:pPr>
      <w:r>
        <w:t xml:space="preserve">Rule 6: Separator Selection</w:t>
      </w:r>
    </w:p>
    <w:p>
      <w:pPr>
        <w:pStyle w:val="Heading3"/>
      </w:pPr>
      <w:r>
        <w:t xml:space="preserve">After locking the stack and must-haves, fill remaining spots with separator candidates.</w:t>
      </w:r>
    </w:p>
    <w:p>
      <w:pPr>
        <w:spacing w:after="120"/>
      </w:pPr>
      <w:r>
        <w:rPr>
          <w:rFonts w:ascii="Arial" w:cs="Arial" w:eastAsia="Arial" w:hAnsi="Arial"/>
          <w:b/>
          <w:bCs/>
          <w:sz w:val="22"/>
          <w:szCs w:val="22"/>
        </w:rPr>
        <w:t xml:space="preserve">Source: </w:t>
      </w:r>
      <w:r>
        <w:rPr>
          <w:rFonts w:ascii="Arial" w:cs="Arial" w:eastAsia="Arial" w:hAnsi="Arial"/>
          <w:sz w:val="22"/>
          <w:szCs w:val="22"/>
        </w:rPr>
        <w:t xml:space="preserve">Our separator analysis: 48% of all 20+ FPTS games come from players under 5% owned. PP1 + Proj≥10 + Own&lt;10% = 2.2x lift in identifying separators.</w:t>
      </w:r>
    </w:p>
    <w:p>
      <w:pPr>
        <w:spacing w:after="120"/>
      </w:pPr>
      <w:r>
        <w:rPr>
          <w:rFonts w:ascii="Arial" w:cs="Arial" w:eastAsia="Arial" w:hAnsi="Arial"/>
          <w:b/>
          <w:bCs/>
          <w:sz w:val="22"/>
          <w:szCs w:val="22"/>
        </w:rPr>
        <w:t xml:space="preserve">The math: </w:t>
      </w:r>
      <w:r>
        <w:rPr>
          <w:rFonts w:ascii="Arial" w:cs="Arial" w:eastAsia="Arial" w:hAnsi="Arial"/>
          <w:sz w:val="22"/>
          <w:szCs w:val="22"/>
        </w:rPr>
        <w:t xml:space="preserve">30 FPTS at 2.5% owned = 35.5 exclusive FPTS. Same 30 FPTS at 30% owned = 24.8 exclusive FPTS. That’s a 10-point swing from ownership alone. You need the player to produce AND to be exclusive to your lineup.</w:t>
      </w:r>
    </w:p>
    <w:p>
      <w:pPr>
        <w:spacing w:after="120"/>
      </w:pPr>
      <w:r>
        <w:rPr>
          <w:rFonts w:ascii="Arial" w:cs="Arial" w:eastAsia="Arial" w:hAnsi="Arial"/>
          <w:b/>
          <w:bCs/>
          <w:color w:val="F57F17"/>
          <w:sz w:val="22"/>
          <w:szCs w:val="22"/>
        </w:rPr>
        <w:t xml:space="preserve">Confidence: HIGH for the math, MEDIUM for picking the right separator. </w:t>
      </w:r>
      <w:r>
        <w:rPr>
          <w:rFonts w:ascii="Arial" w:cs="Arial" w:eastAsia="Arial" w:hAnsi="Arial"/>
          <w:sz w:val="22"/>
          <w:szCs w:val="22"/>
        </w:rPr>
        <w:t xml:space="preserve">The separator filter (PP1 + Proj≥10 + Own&lt;10%) catches 44% of actual separators at 2.2x the base rate. That means 56% of separators are missed by this filter, and most candidates don’t actually separate. It’s a probability tilt, not a crystal ball.</w:t>
      </w:r>
    </w:p>
    <w:p>
      <w:pPr>
        <w:spacing w:after="120"/>
      </w:pPr>
      <w:r>
        <w:rPr>
          <w:rFonts w:ascii="Arial" w:cs="Arial" w:eastAsia="Arial" w:hAnsi="Arial"/>
          <w:b/>
          <w:bCs/>
          <w:sz w:val="22"/>
          <w:szCs w:val="22"/>
        </w:rPr>
        <w:t xml:space="preserve">Best separator tiers by salary: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c>
          <w:tcPr>
            <w:tcW w:type="dxa" w:w="2340"/>
            <w:tcBorders>
              <w:top w:val="single" w:color="CCCCCC" w:sz="1"/>
              <w:left w:val="single" w:color="CCCCCC" w:sz="1"/>
              <w:bottom w:val="single" w:color="CCCCCC" w:sz="1"/>
              <w:right w:val="single" w:color="CCCCCC" w:sz="1"/>
            </w:tcBorders>
            <w:shd w:fill="1B3A4B" w:color="auto" w:val="clear"/>
            <w:tcMar>
              <w:top w:type="dxa" w:w="80"/>
              <w:left w:type="dxa" w:w="120"/>
              <w:bottom w:type="dxa" w:w="80"/>
              <w:right w:type="dxa" w:w="120"/>
            </w:tcMar>
          </w:tcPr>
          <w:p>
            <w:pPr>
              <w:spacing w:before="40" w:after="40"/>
            </w:pPr>
            <w:r>
              <w:rPr>
                <w:rFonts w:ascii="Arial" w:cs="Arial" w:eastAsia="Arial" w:hAnsi="Arial"/>
                <w:b/>
                <w:bCs/>
                <w:color w:val="FFFFFF"/>
                <w:sz w:val="20"/>
                <w:szCs w:val="20"/>
                <w:shd w:val="clear" w:color="auto" w:fill="auto"/>
              </w:rPr>
              <w:t xml:space="preserve">Salary Tier</w:t>
            </w:r>
          </w:p>
        </w:tc>
        <w:tc>
          <w:tcPr>
            <w:tcW w:type="dxa" w:w="1755"/>
            <w:tcBorders>
              <w:top w:val="single" w:color="CCCCCC" w:sz="1"/>
              <w:left w:val="single" w:color="CCCCCC" w:sz="1"/>
              <w:bottom w:val="single" w:color="CCCCCC" w:sz="1"/>
              <w:right w:val="single" w:color="CCCCCC" w:sz="1"/>
            </w:tcBorders>
            <w:shd w:fill="1B3A4B" w:color="auto" w:val="clear"/>
            <w:tcMar>
              <w:top w:type="dxa" w:w="80"/>
              <w:left w:type="dxa" w:w="120"/>
              <w:bottom w:type="dxa" w:w="80"/>
              <w:right w:type="dxa" w:w="120"/>
            </w:tcMar>
          </w:tcPr>
          <w:p>
            <w:pPr>
              <w:spacing w:before="40" w:after="40"/>
            </w:pPr>
            <w:r>
              <w:rPr>
                <w:rFonts w:ascii="Arial" w:cs="Arial" w:eastAsia="Arial" w:hAnsi="Arial"/>
                <w:b/>
                <w:bCs/>
                <w:color w:val="FFFFFF"/>
                <w:sz w:val="20"/>
                <w:szCs w:val="20"/>
                <w:shd w:val="clear" w:color="auto" w:fill="auto"/>
              </w:rPr>
              <w:t xml:space="preserve">Sep Rate</w:t>
            </w:r>
          </w:p>
        </w:tc>
        <w:tc>
          <w:tcPr>
            <w:tcW w:type="dxa" w:w="1755"/>
            <w:tcBorders>
              <w:top w:val="single" w:color="CCCCCC" w:sz="1"/>
              <w:left w:val="single" w:color="CCCCCC" w:sz="1"/>
              <w:bottom w:val="single" w:color="CCCCCC" w:sz="1"/>
              <w:right w:val="single" w:color="CCCCCC" w:sz="1"/>
            </w:tcBorders>
            <w:shd w:fill="1B3A4B" w:color="auto" w:val="clear"/>
            <w:tcMar>
              <w:top w:type="dxa" w:w="80"/>
              <w:left w:type="dxa" w:w="120"/>
              <w:bottom w:type="dxa" w:w="80"/>
              <w:right w:type="dxa" w:w="120"/>
            </w:tcMar>
          </w:tcPr>
          <w:p>
            <w:pPr>
              <w:spacing w:before="40" w:after="40"/>
            </w:pPr>
            <w:r>
              <w:rPr>
                <w:rFonts w:ascii="Arial" w:cs="Arial" w:eastAsia="Arial" w:hAnsi="Arial"/>
                <w:b/>
                <w:bCs/>
                <w:color w:val="FFFFFF"/>
                <w:sz w:val="20"/>
                <w:szCs w:val="20"/>
                <w:shd w:val="clear" w:color="auto" w:fill="auto"/>
              </w:rPr>
              <w:t xml:space="preserve">Avg FPTS</w:t>
            </w:r>
          </w:p>
        </w:tc>
        <w:tc>
          <w:tcPr>
            <w:tcW w:type="dxa" w:w="1755"/>
            <w:tcBorders>
              <w:top w:val="single" w:color="CCCCCC" w:sz="1"/>
              <w:left w:val="single" w:color="CCCCCC" w:sz="1"/>
              <w:bottom w:val="single" w:color="CCCCCC" w:sz="1"/>
              <w:right w:val="single" w:color="CCCCCC" w:sz="1"/>
            </w:tcBorders>
            <w:shd w:fill="1B3A4B" w:color="auto" w:val="clear"/>
            <w:tcMar>
              <w:top w:type="dxa" w:w="80"/>
              <w:left w:type="dxa" w:w="120"/>
              <w:bottom w:type="dxa" w:w="80"/>
              <w:right w:type="dxa" w:w="120"/>
            </w:tcMar>
          </w:tcPr>
          <w:p>
            <w:pPr>
              <w:spacing w:before="40" w:after="40"/>
            </w:pPr>
            <w:r>
              <w:rPr>
                <w:rFonts w:ascii="Arial" w:cs="Arial" w:eastAsia="Arial" w:hAnsi="Arial"/>
                <w:b/>
                <w:bCs/>
                <w:color w:val="FFFFFF"/>
                <w:sz w:val="20"/>
                <w:szCs w:val="20"/>
                <w:shd w:val="clear" w:color="auto" w:fill="auto"/>
              </w:rPr>
              <w:t xml:space="preserve">Avg Own</w:t>
            </w:r>
          </w:p>
        </w:tc>
        <w:tc>
          <w:tcPr>
            <w:tcW w:type="dxa" w:w="1755"/>
            <w:tcBorders>
              <w:top w:val="single" w:color="CCCCCC" w:sz="1"/>
              <w:left w:val="single" w:color="CCCCCC" w:sz="1"/>
              <w:bottom w:val="single" w:color="CCCCCC" w:sz="1"/>
              <w:right w:val="single" w:color="CCCCCC" w:sz="1"/>
            </w:tcBorders>
            <w:shd w:fill="1B3A4B" w:color="auto" w:val="clear"/>
            <w:tcMar>
              <w:top w:type="dxa" w:w="80"/>
              <w:left w:type="dxa" w:w="120"/>
              <w:bottom w:type="dxa" w:w="80"/>
              <w:right w:type="dxa" w:w="120"/>
            </w:tcMar>
          </w:tcPr>
          <w:p>
            <w:pPr>
              <w:spacing w:before="40" w:after="40"/>
            </w:pPr>
            <w:r>
              <w:rPr>
                <w:rFonts w:ascii="Arial" w:cs="Arial" w:eastAsia="Arial" w:hAnsi="Arial"/>
                <w:b/>
                <w:bCs/>
                <w:color w:val="FFFFFF"/>
                <w:sz w:val="20"/>
                <w:szCs w:val="20"/>
                <w:shd w:val="clear" w:color="auto" w:fill="auto"/>
              </w:rPr>
              <w:t xml:space="preserve">Verdict</w:t>
            </w:r>
          </w:p>
        </w:tc>
      </w:tr>
      <w:tr>
        <w:tc>
          <w:tcPr>
            <w:tcW w:type="dxa" w:w="2340"/>
            <w:tcBorders>
              <w:top w:val="single" w:color="CCCCCC" w:sz="1"/>
              <w:left w:val="single" w:color="CCCCCC" w:sz="1"/>
              <w:bottom w:val="single" w:color="CCCCCC" w:sz="1"/>
              <w:right w:val="single" w:color="CCCCCC" w:sz="1"/>
            </w:tcBorders>
            <w:shd w:fill="E8F5E9" w:color="auto" w:val="clear"/>
            <w:tcMar>
              <w:top w:type="dxa" w:w="80"/>
              <w:left w:type="dxa" w:w="120"/>
              <w:bottom w:type="dxa" w:w="80"/>
              <w:right w:type="dxa" w:w="120"/>
            </w:tcMar>
          </w:tcPr>
          <w:p>
            <w:pPr>
              <w:spacing w:before="40" w:after="40"/>
            </w:pPr>
            <w:r>
              <w:rPr>
                <w:rFonts w:ascii="Arial" w:cs="Arial" w:eastAsia="Arial" w:hAnsi="Arial"/>
                <w:sz w:val="20"/>
                <w:szCs w:val="20"/>
                <w:shd w:val="clear" w:color="auto" w:fill="auto"/>
              </w:rPr>
              <w:t xml:space="preserve">$6.5-8K</w:t>
            </w:r>
          </w:p>
        </w:tc>
        <w:tc>
          <w:tcPr>
            <w:tcW w:type="dxa" w:w="1755"/>
            <w:tcBorders>
              <w:top w:val="single" w:color="CCCCCC" w:sz="1"/>
              <w:left w:val="single" w:color="CCCCCC" w:sz="1"/>
              <w:bottom w:val="single" w:color="CCCCCC" w:sz="1"/>
              <w:right w:val="single" w:color="CCCCCC" w:sz="1"/>
            </w:tcBorders>
            <w:shd w:fill="E8F5E9" w:color="auto" w:val="clear"/>
            <w:tcMar>
              <w:top w:type="dxa" w:w="80"/>
              <w:left w:type="dxa" w:w="120"/>
              <w:bottom w:type="dxa" w:w="80"/>
              <w:right w:type="dxa" w:w="120"/>
            </w:tcMar>
          </w:tcPr>
          <w:p>
            <w:pPr>
              <w:spacing w:before="40" w:after="40"/>
            </w:pPr>
            <w:r>
              <w:rPr>
                <w:rFonts w:ascii="Arial" w:cs="Arial" w:eastAsia="Arial" w:hAnsi="Arial"/>
                <w:sz w:val="20"/>
                <w:szCs w:val="20"/>
                <w:shd w:val="clear" w:color="auto" w:fill="auto"/>
              </w:rPr>
              <w:t xml:space="preserve">12.1%</w:t>
            </w:r>
          </w:p>
        </w:tc>
        <w:tc>
          <w:tcPr>
            <w:tcW w:type="dxa" w:w="1755"/>
            <w:tcBorders>
              <w:top w:val="single" w:color="CCCCCC" w:sz="1"/>
              <w:left w:val="single" w:color="CCCCCC" w:sz="1"/>
              <w:bottom w:val="single" w:color="CCCCCC" w:sz="1"/>
              <w:right w:val="single" w:color="CCCCCC" w:sz="1"/>
            </w:tcBorders>
            <w:shd w:fill="E8F5E9" w:color="auto" w:val="clear"/>
            <w:tcMar>
              <w:top w:type="dxa" w:w="80"/>
              <w:left w:type="dxa" w:w="120"/>
              <w:bottom w:type="dxa" w:w="80"/>
              <w:right w:type="dxa" w:w="120"/>
            </w:tcMar>
          </w:tcPr>
          <w:p>
            <w:pPr>
              <w:spacing w:before="40" w:after="40"/>
            </w:pPr>
            <w:r>
              <w:rPr>
                <w:rFonts w:ascii="Arial" w:cs="Arial" w:eastAsia="Arial" w:hAnsi="Arial"/>
                <w:sz w:val="20"/>
                <w:szCs w:val="20"/>
                <w:shd w:val="clear" w:color="auto" w:fill="auto"/>
              </w:rPr>
              <w:t xml:space="preserve">26.4</w:t>
            </w:r>
          </w:p>
        </w:tc>
        <w:tc>
          <w:tcPr>
            <w:tcW w:type="dxa" w:w="1755"/>
            <w:tcBorders>
              <w:top w:val="single" w:color="CCCCCC" w:sz="1"/>
              <w:left w:val="single" w:color="CCCCCC" w:sz="1"/>
              <w:bottom w:val="single" w:color="CCCCCC" w:sz="1"/>
              <w:right w:val="single" w:color="CCCCCC" w:sz="1"/>
            </w:tcBorders>
            <w:shd w:fill="E8F5E9" w:color="auto" w:val="clear"/>
            <w:tcMar>
              <w:top w:type="dxa" w:w="80"/>
              <w:left w:type="dxa" w:w="120"/>
              <w:bottom w:type="dxa" w:w="80"/>
              <w:right w:type="dxa" w:w="120"/>
            </w:tcMar>
          </w:tcPr>
          <w:p>
            <w:pPr>
              <w:spacing w:before="40" w:after="40"/>
            </w:pPr>
            <w:r>
              <w:rPr>
                <w:rFonts w:ascii="Arial" w:cs="Arial" w:eastAsia="Arial" w:hAnsi="Arial"/>
                <w:sz w:val="20"/>
                <w:szCs w:val="20"/>
                <w:shd w:val="clear" w:color="auto" w:fill="auto"/>
              </w:rPr>
              <w:t xml:space="preserve">4.1%</w:t>
            </w:r>
          </w:p>
        </w:tc>
        <w:tc>
          <w:tcPr>
            <w:tcW w:type="dxa" w:w="1755"/>
            <w:tcBorders>
              <w:top w:val="single" w:color="CCCCCC" w:sz="1"/>
              <w:left w:val="single" w:color="CCCCCC" w:sz="1"/>
              <w:bottom w:val="single" w:color="CCCCCC" w:sz="1"/>
              <w:right w:val="single" w:color="CCCCCC" w:sz="1"/>
            </w:tcBorders>
            <w:shd w:fill="E8F5E9" w:color="auto" w:val="clear"/>
            <w:tcMar>
              <w:top w:type="dxa" w:w="80"/>
              <w:left w:type="dxa" w:w="120"/>
              <w:bottom w:type="dxa" w:w="80"/>
              <w:right w:type="dxa" w:w="120"/>
            </w:tcMar>
          </w:tcPr>
          <w:p>
            <w:pPr>
              <w:spacing w:before="40" w:after="40"/>
            </w:pPr>
            <w:r>
              <w:rPr>
                <w:rFonts w:ascii="Arial" w:cs="Arial" w:eastAsia="Arial" w:hAnsi="Arial"/>
                <w:sz w:val="20"/>
                <w:szCs w:val="20"/>
                <w:shd w:val="clear" w:color="auto" w:fill="auto"/>
              </w:rPr>
              <w:t xml:space="preserve">Best tier</w:t>
            </w:r>
          </w:p>
        </w:tc>
      </w:tr>
      <w:tr>
        <w:tc>
          <w:tcPr>
            <w:tcW w:type="dxa" w:w="2340"/>
            <w:tcBorders>
              <w:top w:val="single" w:color="CCCCCC" w:sz="1"/>
              <w:left w:val="single" w:color="CCCCCC" w:sz="1"/>
              <w:bottom w:val="single" w:color="CCCCCC" w:sz="1"/>
              <w:right w:val="single" w:color="CCCCCC" w:sz="1"/>
            </w:tcBorders>
            <w:shd w:fill="E8F5E9" w:color="auto" w:val="clear"/>
            <w:tcMar>
              <w:top w:type="dxa" w:w="80"/>
              <w:left w:type="dxa" w:w="120"/>
              <w:bottom w:type="dxa" w:w="80"/>
              <w:right w:type="dxa" w:w="120"/>
            </w:tcMar>
          </w:tcPr>
          <w:p>
            <w:pPr>
              <w:spacing w:before="40" w:after="40"/>
            </w:pPr>
            <w:r>
              <w:rPr>
                <w:rFonts w:ascii="Arial" w:cs="Arial" w:eastAsia="Arial" w:hAnsi="Arial"/>
                <w:sz w:val="20"/>
                <w:szCs w:val="20"/>
                <w:shd w:val="clear" w:color="auto" w:fill="auto"/>
              </w:rPr>
              <w:t xml:space="preserve">$8K+</w:t>
            </w:r>
          </w:p>
        </w:tc>
        <w:tc>
          <w:tcPr>
            <w:tcW w:type="dxa" w:w="1755"/>
            <w:tcBorders>
              <w:top w:val="single" w:color="CCCCCC" w:sz="1"/>
              <w:left w:val="single" w:color="CCCCCC" w:sz="1"/>
              <w:bottom w:val="single" w:color="CCCCCC" w:sz="1"/>
              <w:right w:val="single" w:color="CCCCCC" w:sz="1"/>
            </w:tcBorders>
            <w:shd w:fill="E8F5E9" w:color="auto" w:val="clear"/>
            <w:tcMar>
              <w:top w:type="dxa" w:w="80"/>
              <w:left w:type="dxa" w:w="120"/>
              <w:bottom w:type="dxa" w:w="80"/>
              <w:right w:type="dxa" w:w="120"/>
            </w:tcMar>
          </w:tcPr>
          <w:p>
            <w:pPr>
              <w:spacing w:before="40" w:after="40"/>
            </w:pPr>
            <w:r>
              <w:rPr>
                <w:rFonts w:ascii="Arial" w:cs="Arial" w:eastAsia="Arial" w:hAnsi="Arial"/>
                <w:sz w:val="20"/>
                <w:szCs w:val="20"/>
                <w:shd w:val="clear" w:color="auto" w:fill="auto"/>
              </w:rPr>
              <w:t xml:space="preserve">11.8%</w:t>
            </w:r>
          </w:p>
        </w:tc>
        <w:tc>
          <w:tcPr>
            <w:tcW w:type="dxa" w:w="1755"/>
            <w:tcBorders>
              <w:top w:val="single" w:color="CCCCCC" w:sz="1"/>
              <w:left w:val="single" w:color="CCCCCC" w:sz="1"/>
              <w:bottom w:val="single" w:color="CCCCCC" w:sz="1"/>
              <w:right w:val="single" w:color="CCCCCC" w:sz="1"/>
            </w:tcBorders>
            <w:shd w:fill="E8F5E9" w:color="auto" w:val="clear"/>
            <w:tcMar>
              <w:top w:type="dxa" w:w="80"/>
              <w:left w:type="dxa" w:w="120"/>
              <w:bottom w:type="dxa" w:w="80"/>
              <w:right w:type="dxa" w:w="120"/>
            </w:tcMar>
          </w:tcPr>
          <w:p>
            <w:pPr>
              <w:spacing w:before="40" w:after="40"/>
            </w:pPr>
            <w:r>
              <w:rPr>
                <w:rFonts w:ascii="Arial" w:cs="Arial" w:eastAsia="Arial" w:hAnsi="Arial"/>
                <w:sz w:val="20"/>
                <w:szCs w:val="20"/>
                <w:shd w:val="clear" w:color="auto" w:fill="auto"/>
              </w:rPr>
              <w:t xml:space="preserve">27.0</w:t>
            </w:r>
          </w:p>
        </w:tc>
        <w:tc>
          <w:tcPr>
            <w:tcW w:type="dxa" w:w="1755"/>
            <w:tcBorders>
              <w:top w:val="single" w:color="CCCCCC" w:sz="1"/>
              <w:left w:val="single" w:color="CCCCCC" w:sz="1"/>
              <w:bottom w:val="single" w:color="CCCCCC" w:sz="1"/>
              <w:right w:val="single" w:color="CCCCCC" w:sz="1"/>
            </w:tcBorders>
            <w:shd w:fill="E8F5E9" w:color="auto" w:val="clear"/>
            <w:tcMar>
              <w:top w:type="dxa" w:w="80"/>
              <w:left w:type="dxa" w:w="120"/>
              <w:bottom w:type="dxa" w:w="80"/>
              <w:right w:type="dxa" w:w="120"/>
            </w:tcMar>
          </w:tcPr>
          <w:p>
            <w:pPr>
              <w:spacing w:before="40" w:after="40"/>
            </w:pPr>
            <w:r>
              <w:rPr>
                <w:rFonts w:ascii="Arial" w:cs="Arial" w:eastAsia="Arial" w:hAnsi="Arial"/>
                <w:sz w:val="20"/>
                <w:szCs w:val="20"/>
                <w:shd w:val="clear" w:color="auto" w:fill="auto"/>
              </w:rPr>
              <w:t xml:space="preserve">4.9%</w:t>
            </w:r>
          </w:p>
        </w:tc>
        <w:tc>
          <w:tcPr>
            <w:tcW w:type="dxa" w:w="1755"/>
            <w:tcBorders>
              <w:top w:val="single" w:color="CCCCCC" w:sz="1"/>
              <w:left w:val="single" w:color="CCCCCC" w:sz="1"/>
              <w:bottom w:val="single" w:color="CCCCCC" w:sz="1"/>
              <w:right w:val="single" w:color="CCCCCC" w:sz="1"/>
            </w:tcBorders>
            <w:shd w:fill="E8F5E9" w:color="auto" w:val="clear"/>
            <w:tcMar>
              <w:top w:type="dxa" w:w="80"/>
              <w:left w:type="dxa" w:w="120"/>
              <w:bottom w:type="dxa" w:w="80"/>
              <w:right w:type="dxa" w:w="120"/>
            </w:tcMar>
          </w:tcPr>
          <w:p>
            <w:pPr>
              <w:spacing w:before="40" w:after="40"/>
            </w:pPr>
            <w:r>
              <w:rPr>
                <w:rFonts w:ascii="Arial" w:cs="Arial" w:eastAsia="Arial" w:hAnsi="Arial"/>
                <w:sz w:val="20"/>
                <w:szCs w:val="20"/>
                <w:shd w:val="clear" w:color="auto" w:fill="auto"/>
              </w:rPr>
              <w:t xml:space="preserve">Stars when cold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20"/>
                <w:szCs w:val="20"/>
              </w:rPr>
              <w:t xml:space="preserve">$5-6.5K</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20"/>
                <w:szCs w:val="20"/>
              </w:rPr>
              <w:t xml:space="preserve">6.9%</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20"/>
                <w:szCs w:val="20"/>
              </w:rPr>
              <w:t xml:space="preserve">26.3</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20"/>
                <w:szCs w:val="20"/>
              </w:rPr>
              <w:t xml:space="preserve">4.0%</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20"/>
                <w:szCs w:val="20"/>
              </w:rPr>
              <w:t xml:space="preserve">Viable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20"/>
                <w:szCs w:val="20"/>
              </w:rPr>
              <w:t xml:space="preserve">$3.5-5K</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20"/>
                <w:szCs w:val="20"/>
              </w:rPr>
              <w:t xml:space="preserve">4.0%</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20"/>
                <w:szCs w:val="20"/>
              </w:rPr>
              <w:t xml:space="preserve">26.4</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20"/>
                <w:szCs w:val="20"/>
              </w:rPr>
              <w:t xml:space="preserve">3.9%</w:t>
            </w:r>
          </w:p>
        </w:tc>
        <w:tc>
          <w:tcPr>
            <w:tcW w:type="dxa" w:w="1755"/>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40" w:after="40"/>
            </w:pPr>
            <w:r>
              <w:rPr>
                <w:rFonts w:ascii="Arial" w:cs="Arial" w:eastAsia="Arial" w:hAnsi="Arial"/>
                <w:sz w:val="20"/>
                <w:szCs w:val="20"/>
              </w:rPr>
              <w:t xml:space="preserve">Punt potential</w:t>
            </w:r>
          </w:p>
        </w:tc>
      </w:tr>
      <w:tr>
        <w:tc>
          <w:tcPr>
            <w:tcW w:type="dxa" w:w="2340"/>
            <w:tcBorders>
              <w:top w:val="single" w:color="CCCCCC" w:sz="1"/>
              <w:left w:val="single" w:color="CCCCCC" w:sz="1"/>
              <w:bottom w:val="single" w:color="CCCCCC" w:sz="1"/>
              <w:right w:val="single" w:color="CCCCCC" w:sz="1"/>
            </w:tcBorders>
            <w:shd w:fill="FFF3E0" w:color="auto" w:val="clear"/>
            <w:tcMar>
              <w:top w:type="dxa" w:w="80"/>
              <w:left w:type="dxa" w:w="120"/>
              <w:bottom w:type="dxa" w:w="80"/>
              <w:right w:type="dxa" w:w="120"/>
            </w:tcMar>
          </w:tcPr>
          <w:p>
            <w:pPr>
              <w:spacing w:before="40" w:after="40"/>
            </w:pPr>
            <w:r>
              <w:rPr>
                <w:rFonts w:ascii="Arial" w:cs="Arial" w:eastAsia="Arial" w:hAnsi="Arial"/>
                <w:sz w:val="20"/>
                <w:szCs w:val="20"/>
                <w:shd w:val="clear" w:color="auto" w:fill="auto"/>
              </w:rPr>
              <w:t xml:space="preserve">&lt;$3.5K</w:t>
            </w:r>
          </w:p>
        </w:tc>
        <w:tc>
          <w:tcPr>
            <w:tcW w:type="dxa" w:w="1755"/>
            <w:tcBorders>
              <w:top w:val="single" w:color="CCCCCC" w:sz="1"/>
              <w:left w:val="single" w:color="CCCCCC" w:sz="1"/>
              <w:bottom w:val="single" w:color="CCCCCC" w:sz="1"/>
              <w:right w:val="single" w:color="CCCCCC" w:sz="1"/>
            </w:tcBorders>
            <w:shd w:fill="FFF3E0" w:color="auto" w:val="clear"/>
            <w:tcMar>
              <w:top w:type="dxa" w:w="80"/>
              <w:left w:type="dxa" w:w="120"/>
              <w:bottom w:type="dxa" w:w="80"/>
              <w:right w:type="dxa" w:w="120"/>
            </w:tcMar>
          </w:tcPr>
          <w:p>
            <w:pPr>
              <w:spacing w:before="40" w:after="40"/>
            </w:pPr>
            <w:r>
              <w:rPr>
                <w:rFonts w:ascii="Arial" w:cs="Arial" w:eastAsia="Arial" w:hAnsi="Arial"/>
                <w:sz w:val="20"/>
                <w:szCs w:val="20"/>
                <w:shd w:val="clear" w:color="auto" w:fill="auto"/>
              </w:rPr>
              <w:t xml:space="preserve">1.9%</w:t>
            </w:r>
          </w:p>
        </w:tc>
        <w:tc>
          <w:tcPr>
            <w:tcW w:type="dxa" w:w="1755"/>
            <w:tcBorders>
              <w:top w:val="single" w:color="CCCCCC" w:sz="1"/>
              <w:left w:val="single" w:color="CCCCCC" w:sz="1"/>
              <w:bottom w:val="single" w:color="CCCCCC" w:sz="1"/>
              <w:right w:val="single" w:color="CCCCCC" w:sz="1"/>
            </w:tcBorders>
            <w:shd w:fill="FFF3E0" w:color="auto" w:val="clear"/>
            <w:tcMar>
              <w:top w:type="dxa" w:w="80"/>
              <w:left w:type="dxa" w:w="120"/>
              <w:bottom w:type="dxa" w:w="80"/>
              <w:right w:type="dxa" w:w="120"/>
            </w:tcMar>
          </w:tcPr>
          <w:p>
            <w:pPr>
              <w:spacing w:before="40" w:after="40"/>
            </w:pPr>
            <w:r>
              <w:rPr>
                <w:rFonts w:ascii="Arial" w:cs="Arial" w:eastAsia="Arial" w:hAnsi="Arial"/>
                <w:sz w:val="20"/>
                <w:szCs w:val="20"/>
                <w:shd w:val="clear" w:color="auto" w:fill="auto"/>
              </w:rPr>
              <w:t xml:space="preserve">25.8</w:t>
            </w:r>
          </w:p>
        </w:tc>
        <w:tc>
          <w:tcPr>
            <w:tcW w:type="dxa" w:w="1755"/>
            <w:tcBorders>
              <w:top w:val="single" w:color="CCCCCC" w:sz="1"/>
              <w:left w:val="single" w:color="CCCCCC" w:sz="1"/>
              <w:bottom w:val="single" w:color="CCCCCC" w:sz="1"/>
              <w:right w:val="single" w:color="CCCCCC" w:sz="1"/>
            </w:tcBorders>
            <w:shd w:fill="FFF3E0" w:color="auto" w:val="clear"/>
            <w:tcMar>
              <w:top w:type="dxa" w:w="80"/>
              <w:left w:type="dxa" w:w="120"/>
              <w:bottom w:type="dxa" w:w="80"/>
              <w:right w:type="dxa" w:w="120"/>
            </w:tcMar>
          </w:tcPr>
          <w:p>
            <w:pPr>
              <w:spacing w:before="40" w:after="40"/>
            </w:pPr>
            <w:r>
              <w:rPr>
                <w:rFonts w:ascii="Arial" w:cs="Arial" w:eastAsia="Arial" w:hAnsi="Arial"/>
                <w:sz w:val="20"/>
                <w:szCs w:val="20"/>
                <w:shd w:val="clear" w:color="auto" w:fill="auto"/>
              </w:rPr>
              <w:t xml:space="preserve">3.2%</w:t>
            </w:r>
          </w:p>
        </w:tc>
        <w:tc>
          <w:tcPr>
            <w:tcW w:type="dxa" w:w="1755"/>
            <w:tcBorders>
              <w:top w:val="single" w:color="CCCCCC" w:sz="1"/>
              <w:left w:val="single" w:color="CCCCCC" w:sz="1"/>
              <w:bottom w:val="single" w:color="CCCCCC" w:sz="1"/>
              <w:right w:val="single" w:color="CCCCCC" w:sz="1"/>
            </w:tcBorders>
            <w:shd w:fill="FFF3E0" w:color="auto" w:val="clear"/>
            <w:tcMar>
              <w:top w:type="dxa" w:w="80"/>
              <w:left w:type="dxa" w:w="120"/>
              <w:bottom w:type="dxa" w:w="80"/>
              <w:right w:type="dxa" w:w="120"/>
            </w:tcMar>
          </w:tcPr>
          <w:p>
            <w:pPr>
              <w:spacing w:before="40" w:after="40"/>
            </w:pPr>
            <w:r>
              <w:rPr>
                <w:rFonts w:ascii="Arial" w:cs="Arial" w:eastAsia="Arial" w:hAnsi="Arial"/>
                <w:sz w:val="20"/>
                <w:szCs w:val="20"/>
                <w:shd w:val="clear" w:color="auto" w:fill="auto"/>
              </w:rPr>
              <w:t xml:space="preserve">Rarely separate</w:t>
            </w:r>
          </w:p>
        </w:tc>
      </w:tr>
    </w:tbl>
    <w:p>
      <w:pPr>
        <w:pStyle w:val="Heading1"/>
      </w:pPr>
      <w:r>
        <w:t xml:space="preserve">What These Rules Don’t Tell You</w:t>
      </w:r>
    </w:p>
    <w:p>
      <w:pPr>
        <w:spacing w:after="120"/>
      </w:pPr>
      <w:r>
        <w:rPr>
          <w:rFonts w:ascii="Arial" w:cs="Arial" w:eastAsia="Arial" w:hAnsi="Arial"/>
          <w:sz w:val="22"/>
          <w:szCs w:val="22"/>
        </w:rPr>
        <w:t xml:space="preserve">These rules are derived from averages across 96 slates and 12,841 player observations. On any single night, the variance swamps the signal. Here’s what the rules can’t capture:</w:t>
      </w:r>
    </w:p>
    <w:p>
      <w:pPr>
        <w:pStyle w:val="ListParagraph"/>
        <w:numPr>
          <w:ilvl w:val="0"/>
          <w:numId w:val="2"/>
        </w:numPr>
        <w:spacing w:after="100"/>
      </w:pPr>
      <w:r>
        <w:rPr>
          <w:rFonts w:ascii="Arial" w:cs="Arial" w:eastAsia="Arial" w:hAnsi="Arial"/>
          <w:b/>
          <w:bCs/>
          <w:sz w:val="22"/>
          <w:szCs w:val="22"/>
        </w:rPr>
        <w:t xml:space="preserve">Which game blows up. </w:t>
      </w:r>
      <w:r>
        <w:rPr>
          <w:rFonts w:ascii="Arial" w:cs="Arial" w:eastAsia="Arial" w:hAnsi="Arial"/>
          <w:sz w:val="22"/>
          <w:szCs w:val="22"/>
        </w:rPr>
        <w:t xml:space="preserve">Implied totals tell you which game SHOULD score, but hockey is chaotic. The MIT paper’s regression had R² = 0.24 for skaters and 0.01 for goalies. They won contests despite terrible predictions because their lineup STRUCTURE was right.</w:t>
      </w:r>
    </w:p>
    <w:p>
      <w:pPr>
        <w:pStyle w:val="ListParagraph"/>
        <w:numPr>
          <w:ilvl w:val="0"/>
          <w:numId w:val="2"/>
        </w:numPr>
        <w:spacing w:after="100"/>
      </w:pPr>
      <w:r>
        <w:rPr>
          <w:rFonts w:ascii="Arial" w:cs="Arial" w:eastAsia="Arial" w:hAnsi="Arial"/>
          <w:b/>
          <w:bCs/>
          <w:sz w:val="22"/>
          <w:szCs w:val="22"/>
        </w:rPr>
        <w:t xml:space="preserve">Which player hits their ceiling. </w:t>
      </w:r>
      <w:r>
        <w:rPr>
          <w:rFonts w:ascii="Arial" w:cs="Arial" w:eastAsia="Arial" w:hAnsi="Arial"/>
          <w:sz w:val="22"/>
          <w:szCs w:val="22"/>
        </w:rPr>
        <w:t xml:space="preserve">PP1 players have higher ceilings on average, but any player can score a hat trick on any night. The rules increase your probability of having the right player when ceilings hit, they don’t predict which player it will be.</w:t>
      </w:r>
    </w:p>
    <w:p>
      <w:pPr>
        <w:pStyle w:val="ListParagraph"/>
        <w:numPr>
          <w:ilvl w:val="0"/>
          <w:numId w:val="2"/>
        </w:numPr>
        <w:spacing w:after="100"/>
      </w:pPr>
      <w:r>
        <w:rPr>
          <w:rFonts w:ascii="Arial" w:cs="Arial" w:eastAsia="Arial" w:hAnsi="Arial"/>
          <w:b/>
          <w:bCs/>
          <w:sz w:val="22"/>
          <w:szCs w:val="22"/>
        </w:rPr>
        <w:t xml:space="preserve">When chalk is right. </w:t>
      </w:r>
      <w:r>
        <w:rPr>
          <w:rFonts w:ascii="Arial" w:cs="Arial" w:eastAsia="Arial" w:hAnsi="Arial"/>
          <w:sz w:val="22"/>
          <w:szCs w:val="22"/>
        </w:rPr>
        <w:t xml:space="preserve">The slate’s top scorer is &lt;10% owned 62% of the time. That means 38% of the time the chalk player IS the top scorer. You can’t know which night you’re on until after the fact.</w:t>
      </w:r>
    </w:p>
    <w:p>
      <w:pPr>
        <w:pStyle w:val="ListParagraph"/>
        <w:numPr>
          <w:ilvl w:val="0"/>
          <w:numId w:val="2"/>
        </w:numPr>
        <w:spacing w:after="100"/>
      </w:pPr>
      <w:r>
        <w:rPr>
          <w:rFonts w:ascii="Arial" w:cs="Arial" w:eastAsia="Arial" w:hAnsi="Arial"/>
          <w:b/>
          <w:bCs/>
          <w:sz w:val="22"/>
          <w:szCs w:val="22"/>
        </w:rPr>
        <w:t xml:space="preserve">Late-breaking information. </w:t>
      </w:r>
      <w:r>
        <w:rPr>
          <w:rFonts w:ascii="Arial" w:cs="Arial" w:eastAsia="Arial" w:hAnsi="Arial"/>
          <w:sz w:val="22"/>
          <w:szCs w:val="22"/>
        </w:rPr>
        <w:t xml:space="preserve">Goalie confirmations, line changes, and injury news all arrive 30 minutes before lock. The MIT paper specifically noted this timing constraint. Rules set your structural framework; the final lineup adjustments require real-time judgment.</w:t>
      </w:r>
    </w:p>
    <w:p>
      <w:pPr>
        <w:pStyle w:val="Heading1"/>
      </w:pPr>
      <w:r>
        <w:t xml:space="preserve">Lineup Construction Order</w:t>
      </w:r>
    </w:p>
    <w:p>
      <w:pPr>
        <w:spacing w:after="80"/>
      </w:pPr>
      <w:r>
        <w:rPr>
          <w:rFonts w:ascii="Arial" w:cs="Arial" w:eastAsia="Arial" w:hAnsi="Arial"/>
          <w:sz w:val="22"/>
          <w:szCs w:val="22"/>
        </w:rPr>
        <w:t xml:space="preserve">Use this sequence to build a lineup. Each step narrows the decision space:</w:t>
      </w:r>
    </w:p>
    <w:p>
      <w:pPr>
        <w:pStyle w:val="ListParagraph"/>
        <w:numPr>
          <w:ilvl w:val="0"/>
          <w:numId w:val="2"/>
        </w:numPr>
        <w:spacing w:after="80"/>
      </w:pPr>
      <w:r>
        <w:rPr>
          <w:rFonts w:ascii="Arial" w:cs="Arial" w:eastAsia="Arial" w:hAnsi="Arial"/>
          <w:b/>
          <w:bCs/>
          <w:sz w:val="22"/>
          <w:szCs w:val="22"/>
        </w:rPr>
        <w:t xml:space="preserve">GOALIE FIRST. </w:t>
      </w:r>
      <w:r>
        <w:rPr>
          <w:rFonts w:ascii="Arial" w:cs="Arial" w:eastAsia="Arial" w:hAnsi="Arial"/>
          <w:sz w:val="22"/>
          <w:szCs w:val="22"/>
        </w:rPr>
        <w:t xml:space="preserve">Pick the goalie. This determines which teams’ skaters you can use (Rule 1: no opposing skaters). Consider win probability, save volume, and ownership. The opposing goalie leverage play applies here.</w:t>
      </w:r>
    </w:p>
    <w:p>
      <w:pPr>
        <w:pStyle w:val="ListParagraph"/>
        <w:numPr>
          <w:ilvl w:val="0"/>
          <w:numId w:val="2"/>
        </w:numPr>
        <w:spacing w:after="80"/>
      </w:pPr>
      <w:r>
        <w:rPr>
          <w:rFonts w:ascii="Arial" w:cs="Arial" w:eastAsia="Arial" w:hAnsi="Arial"/>
          <w:b/>
          <w:bCs/>
          <w:sz w:val="22"/>
          <w:szCs w:val="22"/>
        </w:rPr>
        <w:t xml:space="preserve">PRIMARY STACK. </w:t>
      </w:r>
      <w:r>
        <w:rPr>
          <w:rFonts w:ascii="Arial" w:cs="Arial" w:eastAsia="Arial" w:hAnsi="Arial"/>
          <w:sz w:val="22"/>
          <w:szCs w:val="22"/>
        </w:rPr>
        <w:t xml:space="preserve">Lock in a complete 3-forward line (Rule 2). Prefer the PP1 line if salary allows and if it aligns with the game environment. Add a PP1 D from the same team if he’s not over-owned chalk (Rule 3).</w:t>
      </w:r>
    </w:p>
    <w:p>
      <w:pPr>
        <w:pStyle w:val="ListParagraph"/>
        <w:numPr>
          <w:ilvl w:val="0"/>
          <w:numId w:val="2"/>
        </w:numPr>
        <w:spacing w:after="80"/>
      </w:pPr>
      <w:r>
        <w:rPr>
          <w:rFonts w:ascii="Arial" w:cs="Arial" w:eastAsia="Arial" w:hAnsi="Arial"/>
          <w:b/>
          <w:bCs/>
          <w:sz w:val="22"/>
          <w:szCs w:val="22"/>
        </w:rPr>
        <w:t xml:space="preserve">CHECK MUST-HAVES. </w:t>
      </w:r>
      <w:r>
        <w:rPr>
          <w:rFonts w:ascii="Arial" w:cs="Arial" w:eastAsia="Arial" w:hAnsi="Arial"/>
          <w:sz w:val="22"/>
          <w:szCs w:val="22"/>
        </w:rPr>
        <w:t xml:space="preserve">Does the slate have must-have chalk (Rule 5)? If so, include them now. This is the player with the unreachable ceiling at 25%+ ownership. Don’t fight it.</w:t>
      </w:r>
    </w:p>
    <w:p>
      <w:pPr>
        <w:pStyle w:val="ListParagraph"/>
        <w:numPr>
          <w:ilvl w:val="0"/>
          <w:numId w:val="2"/>
        </w:numPr>
        <w:spacing w:after="80"/>
      </w:pPr>
      <w:r>
        <w:rPr>
          <w:rFonts w:ascii="Arial" w:cs="Arial" w:eastAsia="Arial" w:hAnsi="Arial"/>
          <w:b/>
          <w:bCs/>
          <w:sz w:val="22"/>
          <w:szCs w:val="22"/>
        </w:rPr>
        <w:t xml:space="preserve">SECONDARY STACK. </w:t>
      </w:r>
      <w:r>
        <w:rPr>
          <w:rFonts w:ascii="Arial" w:cs="Arial" w:eastAsia="Arial" w:hAnsi="Arial"/>
          <w:sz w:val="22"/>
          <w:szCs w:val="22"/>
        </w:rPr>
        <w:t xml:space="preserve">Add a 2-3 player mini-stack from a second game (Rule 4: 3-4 teams total). Use a different game from your primary stack for some diversification.</w:t>
      </w:r>
    </w:p>
    <w:p>
      <w:pPr>
        <w:pStyle w:val="ListParagraph"/>
        <w:numPr>
          <w:ilvl w:val="0"/>
          <w:numId w:val="2"/>
        </w:numPr>
        <w:spacing w:after="80"/>
      </w:pPr>
      <w:r>
        <w:rPr>
          <w:rFonts w:ascii="Arial" w:cs="Arial" w:eastAsia="Arial" w:hAnsi="Arial"/>
          <w:b/>
          <w:bCs/>
          <w:sz w:val="22"/>
          <w:szCs w:val="22"/>
        </w:rPr>
        <w:t xml:space="preserve">FILL WITH SEPARATORS. </w:t>
      </w:r>
      <w:r>
        <w:rPr>
          <w:rFonts w:ascii="Arial" w:cs="Arial" w:eastAsia="Arial" w:hAnsi="Arial"/>
          <w:sz w:val="22"/>
          <w:szCs w:val="22"/>
        </w:rPr>
        <w:t xml:space="preserve">Remaining 1-2 spots: use separator candidates (Rule 6). PP1, projected 10+, under 10% owned. The $6.5-8K tier has the highest separator rate (12.1%). This is where your lineup becomes unique.</w:t>
      </w:r>
    </w:p>
    <w:p>
      <w:pPr>
        <w:pStyle w:val="ListParagraph"/>
        <w:numPr>
          <w:ilvl w:val="0"/>
          <w:numId w:val="2"/>
        </w:numPr>
        <w:spacing w:after="200"/>
      </w:pPr>
      <w:r>
        <w:rPr>
          <w:rFonts w:ascii="Arial" w:cs="Arial" w:eastAsia="Arial" w:hAnsi="Arial"/>
          <w:b/>
          <w:bCs/>
          <w:sz w:val="22"/>
          <w:szCs w:val="22"/>
        </w:rPr>
        <w:t xml:space="preserve">SALARY CHECK. </w:t>
      </w:r>
      <w:r>
        <w:rPr>
          <w:rFonts w:ascii="Arial" w:cs="Arial" w:eastAsia="Arial" w:hAnsi="Arial"/>
          <w:sz w:val="22"/>
          <w:szCs w:val="22"/>
        </w:rPr>
        <w:t xml:space="preserve">Use the full cap. The MIT paper found 91% of winning lineups left less than $300 on the table. If you have $2K+ remaining, you probably have a structural problem.</w:t>
      </w:r>
    </w:p>
    <w:p>
      <w:pPr>
        <w:pStyle w:val="Heading1"/>
      </w:pPr>
      <w:r>
        <w:t xml:space="preserve">Research References</w:t>
      </w:r>
    </w:p>
    <w:p>
      <w:pPr>
        <w:spacing w:after="80"/>
      </w:pPr>
      <w:r>
        <w:rPr>
          <w:rFonts w:ascii="Arial" w:cs="Arial" w:eastAsia="Arial" w:hAnsi="Arial"/>
          <w:sz w:val="20"/>
          <w:szCs w:val="20"/>
        </w:rPr>
        <w:t xml:space="preserve">Hunter, D., Vielma, J.P., Zaman, T. (2019). </w:t>
      </w:r>
      <w:r>
        <w:rPr>
          <w:rFonts w:ascii="Arial" w:cs="Arial" w:eastAsia="Arial" w:hAnsi="Arial"/>
          <w:i/>
          <w:iCs/>
          <w:sz w:val="20"/>
          <w:szCs w:val="20"/>
        </w:rPr>
        <w:t xml:space="preserve">Picking Winners in Daily Fantasy Sports Using Integer Programming.</w:t>
      </w:r>
      <w:r>
        <w:rPr>
          <w:rFonts w:ascii="Arial" w:cs="Arial" w:eastAsia="Arial" w:hAnsi="Arial"/>
          <w:sz w:val="20"/>
          <w:szCs w:val="20"/>
        </w:rPr>
        <w:t xml:space="preserve"> INFORMS Journal on Optimization. arXiv:1604.01455.</w:t>
      </w:r>
    </w:p>
    <w:p>
      <w:pPr>
        <w:spacing w:after="80"/>
      </w:pPr>
      <w:r>
        <w:rPr>
          <w:rFonts w:ascii="Arial" w:cs="Arial" w:eastAsia="Arial" w:hAnsi="Arial"/>
          <w:sz w:val="20"/>
          <w:szCs w:val="20"/>
        </w:rPr>
        <w:t xml:space="preserve">4for4 (2019). </w:t>
      </w:r>
      <w:r>
        <w:rPr>
          <w:rFonts w:ascii="Arial" w:cs="Arial" w:eastAsia="Arial" w:hAnsi="Arial"/>
          <w:i/>
          <w:iCs/>
          <w:sz w:val="20"/>
          <w:szCs w:val="20"/>
        </w:rPr>
        <w:t xml:space="preserve">GPP Leverage Scores: Balancing Value with Ownership in DFS.</w:t>
      </w:r>
    </w:p>
    <w:p>
      <w:pPr>
        <w:spacing w:after="80"/>
      </w:pPr>
      <w:r>
        <w:rPr>
          <w:rFonts w:ascii="Arial" w:cs="Arial" w:eastAsia="Arial" w:hAnsi="Arial"/>
          <w:sz w:val="20"/>
          <w:szCs w:val="20"/>
        </w:rPr>
        <w:t xml:space="preserve">Internal analysis: 12,841 player-slate observations across 96 $121 SE contest dates, October 2025 – February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4B"/>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5E7E"/>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D7A9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2026-02-13T15:22:57.037Z</dcterms:created>
  <dcterms:modified xsi:type="dcterms:W3CDTF">2026-02-13T15:22:57.037Z</dcterms:modified>
</cp:coreProperties>
</file>

<file path=docProps/custom.xml><?xml version="1.0" encoding="utf-8"?>
<Properties xmlns="http://schemas.openxmlformats.org/officeDocument/2006/custom-properties" xmlns:vt="http://schemas.openxmlformats.org/officeDocument/2006/docPropsVTypes"/>
</file>