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E0830"/>
          <w:sz w:val="96"/>
          <w:szCs w:val="96"/>
        </w:rPr>
        <w:t xml:space="preserve">eKonnect</w:t>
      </w:r>
    </w:p>
    <w:p>
      <w:pPr>
        <w:spacing w:after="80" w:before="120"/>
        <w:jc w:val="center"/>
      </w:pPr>
      <w:r>
        <w:rPr>
          <w:b/>
          <w:bCs/>
          <w:color w:val="FF4D5E"/>
          <w:sz w:val="26"/>
          <w:szCs w:val="26"/>
        </w:rPr>
        <w:t xml:space="preserve">Emergency Response, Anytime</w:t>
      </w:r>
    </w:p>
    <w:p>
      <w:pPr>
        <w:spacing w:before="400"/>
        <w:jc w:val="center"/>
      </w:pPr>
      <w:r>
        <w:rPr>
          <w:b/>
          <w:bCs/>
          <w:color w:val="3D1152"/>
          <w:sz w:val="34"/>
          <w:szCs w:val="34"/>
        </w:rPr>
        <w:t xml:space="preserve">Concept Note &amp; Business Plan</w:t>
      </w:r>
    </w:p>
    <w:p>
      <w:pPr>
        <w:spacing w:after="1200" w:before="100"/>
        <w:jc w:val="center"/>
      </w:pPr>
      <w:r>
        <w:rPr>
          <w:i/>
          <w:iCs/>
          <w:color w:val="6B6675"/>
          <w:sz w:val="22"/>
          <w:szCs w:val="22"/>
        </w:rPr>
        <w:t xml:space="preserve">A unified mobile and web platform connecting patients, ambulance drivers, medical practitioners and emergency administrators across Kenya and East Africa.</w:t>
      </w:r>
    </w:p>
    <w:p>
      <w:pPr>
        <w:spacing w:before="2000"/>
        <w:jc w:val="center"/>
      </w:pPr>
      <w:r>
        <w:rPr>
          <w:color w:val="1B1524"/>
          <w:sz w:val="22"/>
          <w:szCs w:val="22"/>
        </w:rPr>
        <w:t xml:space="preserve">Prepared by the eKonnect Team</w:t>
      </w:r>
    </w:p>
    <w:p>
      <w:pPr>
        <w:spacing w:before="60"/>
        <w:jc w:val="center"/>
      </w:pPr>
      <w:r>
        <w:rPr>
          <w:color w:val="6B6675"/>
          <w:sz w:val="20"/>
          <w:szCs w:val="20"/>
        </w:rPr>
        <w:t xml:space="preserve">Benard Phabian · Software Designer</w:t>
      </w:r>
    </w:p>
    <w:p>
      <w:pPr>
        <w:spacing w:before="60"/>
        <w:jc w:val="center"/>
      </w:pPr>
      <w:r>
        <w:rPr>
          <w:color w:val="6B6675"/>
          <w:sz w:val="20"/>
          <w:szCs w:val="20"/>
        </w:rPr>
        <w:t xml:space="preserve">August 2026</w:t>
      </w:r>
    </w:p>
    <w:p>
      <w:r>
        <w:br w:type="page"/>
      </w:r>
    </w:p>
    <w:p>
      <w:pPr>
        <w:pStyle w:val="Heading1"/>
        <w:spacing w:after="200" w:before="320"/>
      </w:pPr>
      <w:r>
        <w:rPr>
          <w:color w:val="1E0830"/>
        </w:rPr>
        <w:t xml:space="preserve">Table of Contents</w:t>
      </w:r>
    </w:p>
    <w:p>
      <w:pPr>
        <w:spacing w:after="200"/>
      </w:pPr>
      <w:r>
        <w:rPr>
          <w:i/>
          <w:iCs/>
          <w:color w:val="6B6675"/>
          <w:sz w:val="18"/>
          <w:szCs w:val="18"/>
        </w:rPr>
        <w:t xml:space="preserve">(In Word: right-click below and choose "Update Field" — or press Ctrl+A then F9 — to populate this table.)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color w:val="1E0830"/>
        </w:rPr>
        <w:t xml:space="preserve">1. Executive Summary</w:t>
      </w:r>
    </w:p>
    <w:p>
      <w:pPr>
        <w:spacing w:after="160" w:line="276"/>
      </w:pPr>
      <w:r>
        <w:rPr>
          <w:color w:val="1B1524"/>
          <w:sz w:val="22"/>
          <w:szCs w:val="22"/>
        </w:rPr>
        <w:t xml:space="preserve">eKonnect is an emergency response platform built for Kenya and East Africa. It connects three groups on one coordinated network: people in a medical, fire, flood or security emergency; the ambulance drivers and medical practitioners who respond to them; and the administrators who verify responders, govern the network and keep it accountable. The goal is simple and measurable: cut the time between an emergency happening and a qualified responder arriving, inside the "Golden Hour" that determines survival in trauma and medical emergencies.</w:t>
      </w:r>
    </w:p>
    <w:p>
      <w:pPr>
        <w:spacing w:after="160" w:line="276"/>
      </w:pPr>
      <w:r>
        <w:rPr>
          <w:color w:val="1B1524"/>
          <w:sz w:val="22"/>
          <w:szCs w:val="22"/>
        </w:rPr>
        <w:t xml:space="preserve">The product already exists as a working system, not a concept sketch. A Flutter mobile application serves patients and responders with role-specific experiences — a one-tap, hold-to-confirm SOS flow, live GPS tracking of the responder en route, an AI-assisted voice reporting mode for callers who cannot categorise their own emergency, and a responder-side duty toggle with incoming-incident accept/decline. A React web dashboard gives administrators a live incident map, responder verification pipeline, and team-management tools for coordinating multiple ambulance and practitioner organisations at once. Both are built on Firebase (Firestore, Authentication, Realtime Database, Cloud Messaging) for real-time data sync and push notifications, with Google Maps for live location and routing.</w:t>
      </w:r>
    </w:p>
    <w:p>
      <w:pPr>
        <w:spacing w:after="160" w:line="276"/>
      </w:pPr>
      <w:r>
        <w:rPr>
          <w:color w:val="1B1524"/>
          <w:sz w:val="22"/>
          <w:szCs w:val="22"/>
        </w:rPr>
        <w:t xml:space="preserve">eKonnect's business model is deliberately two-sided. The public safety network — the free SOS button available to any citizen — is funded through county government partnerships, NGO grants and public health budgets, in the same way a national ambulance service is funded, because a life-or-death button cannot be paywalled. Alongside it, private hospitals, corporates, schools and insurers can subscribe their own vetted responder fleets to the platform to serve their own staff, students or clients directly — a B2B SaaS layer that generates recurring revenue and cross-subsidises the public network's infrastructure costs.</w:t>
      </w:r>
    </w:p>
    <w:p>
      <w:pPr>
        <w:spacing w:after="160" w:line="276"/>
      </w:pPr>
      <w:r>
        <w:rPr>
          <w:color w:val="1B1524"/>
          <w:sz w:val="22"/>
          <w:szCs w:val="22"/>
        </w:rPr>
        <w:t xml:space="preserve">Kenya's emergency care gap is well documented: the World Health Organization recommends one ambulance per 50,000 people, a ratio Kenya falls well short of, and road-traffic deaths climbed to 4,748 in 2024 alone — roughly 13 lives lost on Kenyan roads every day. What existing pilots such as Rescue.co have shown is that the constraint is not primarily the number of ambulances on the road; it is coordination. Rescue.co's dispatch system cut average response times from over 160 minutes to 13 minutes in urban areas by simply routing the nearest available vehicle intelligently. eKonnect is built to do the same, at a lower cost of integration, across a wider set of emergency types, and across both the public network and paid private fleets in a single platform — at a moment when 92.9% smartphone penetration means the infrastructure to reach nearly every Kenyan is already in people's pockets.</w:t>
      </w:r>
    </w:p>
    <w:p>
      <w:pPr>
        <w:spacing w:after="160" w:line="276"/>
      </w:pPr>
      <w:r>
        <w:rPr>
          <w:color w:val="1B1524"/>
          <w:sz w:val="22"/>
          <w:szCs w:val="22"/>
        </w:rPr>
        <w:t xml:space="preserve">eKonnect is raising KSH 5.7 million to take the platform from a working pilot-ready product to a verified, funded county-level rollout: hardening the cloud infrastructure, completing data-security compliance, funding responder onboarding and training, and finishing the remaining engineering work (payments, offline resilience, and admin-side reporting). The five-year plan that follows takes eKonnect from a single-county pilot to a regional emergency-response backbone across East Africa.</w:t>
      </w:r>
    </w:p>
    <w:p>
      <w:r>
        <w:br w:type="page"/>
      </w:r>
    </w:p>
    <w:p>
      <w:pPr>
        <w:pStyle w:val="Heading1"/>
        <w:spacing w:after="200" w:before="320"/>
      </w:pPr>
      <w:r>
        <w:rPr>
          <w:color w:val="1E0830"/>
        </w:rPr>
        <w:t xml:space="preserve">2. The Problem</w:t>
      </w:r>
    </w:p>
    <w:p>
      <w:pPr>
        <w:spacing w:after="160" w:line="276"/>
      </w:pPr>
      <w:r>
        <w:rPr>
          <w:color w:val="1B1524"/>
          <w:sz w:val="22"/>
          <w:szCs w:val="22"/>
        </w:rPr>
        <w:t xml:space="preserve">Kenya's emergency-care system suffers from four compounding failures, each of which eKonnect is built to address directly.</w:t>
      </w:r>
    </w:p>
    <w:p>
      <w:pPr>
        <w:pStyle w:val="Heading2"/>
        <w:spacing w:after="140" w:before="260"/>
      </w:pPr>
      <w:r>
        <w:rPr>
          <w:color w:val="3D1152"/>
        </w:rPr>
        <w:t xml:space="preserve">2.1 Delayed response inside the Golden Hour</w:t>
      </w:r>
    </w:p>
    <w:p>
      <w:pPr>
        <w:spacing w:after="160" w:line="276"/>
      </w:pPr>
      <w:r>
        <w:rPr>
          <w:color w:val="1B1524"/>
          <w:sz w:val="22"/>
          <w:szCs w:val="22"/>
        </w:rPr>
        <w:t xml:space="preserve">Trauma and cardiac medicine both point to the same clinical reality: outcomes fall sharply once roughly 60 minutes pass between injury or onset and definitive care — the "Golden Hour." Kenya's own data shows the country is not close to consistently meeting that window for pre-hospital transport, even though 93.7% of the population lives within one hour's drive of a public emergency department and 98.2% within two hours. In other words, the hospitals exist and are reachable — the bottleneck is getting a responder dispatched and to the patient's side in the first place.</w:t>
      </w:r>
    </w:p>
    <w:p>
      <w:pPr>
        <w:pStyle w:val="Heading2"/>
        <w:spacing w:after="140" w:before="260"/>
      </w:pPr>
      <w:r>
        <w:rPr>
          <w:color w:val="3D1152"/>
        </w:rPr>
        <w:t xml:space="preserve">2.2 Ambulance scarcity and poor coordination</w:t>
      </w:r>
    </w:p>
    <w:p>
      <w:pPr>
        <w:spacing w:after="160" w:line="276"/>
      </w:pPr>
      <w:r>
        <w:rPr>
          <w:color w:val="1B1524"/>
          <w:sz w:val="22"/>
          <w:szCs w:val="22"/>
        </w:rPr>
        <w:t xml:space="preserve">The World Health Organization recommends one ambulance per 50,000 people. Kenya has never had a complete, verified national count of its ambulance fleet or its distribution — a gap serious enough that the national government's own new emergency response plan is starting by simply registering and inspecting vehicles: 113 ambulances registered for onboarding, with 59 inspected as of the plan's first phase. Public, private and NGO ambulances today largely operate as disconnected fleets with no shared dispatch layer, so the nearest available vehicle to an emergency is frequently not the one that responds.</w:t>
      </w:r>
    </w:p>
    <w:p>
      <w:pPr>
        <w:pStyle w:val="Heading2"/>
        <w:spacing w:after="140" w:before="260"/>
      </w:pPr>
      <w:r>
        <w:rPr>
          <w:color w:val="3D1152"/>
        </w:rPr>
        <w:t xml:space="preserve">2.3 Difficulty locating the nearest available help</w:t>
      </w:r>
    </w:p>
    <w:p>
      <w:pPr>
        <w:spacing w:after="160" w:line="276"/>
      </w:pPr>
      <w:r>
        <w:rPr>
          <w:color w:val="1B1524"/>
          <w:sz w:val="22"/>
          <w:szCs w:val="22"/>
        </w:rPr>
        <w:t xml:space="preserve">A caller in an emergency, or a bystander on their behalf, typically has no way to see which ambulance or practitioner is actually nearby and free to respond. Calls go to a single hotline or a private provider's line, which may have no vehicle close by while a closer one from a different operator sits idle. Precious minutes are lost to phone trees and manual coordination between dispatchers and hospitals.</w:t>
      </w:r>
    </w:p>
    <w:p>
      <w:pPr>
        <w:pStyle w:val="Heading2"/>
        <w:spacing w:after="140" w:before="260"/>
      </w:pPr>
      <w:r>
        <w:rPr>
          <w:color w:val="3D1152"/>
        </w:rPr>
        <w:t xml:space="preserve">2.4 No centralized, accountable communication platform</w:t>
      </w:r>
    </w:p>
    <w:p>
      <w:pPr>
        <w:spacing w:after="160" w:line="276"/>
      </w:pPr>
      <w:r>
        <w:rPr>
          <w:color w:val="1B1524"/>
          <w:sz w:val="22"/>
          <w:szCs w:val="22"/>
        </w:rPr>
        <w:t xml:space="preserve">There is no shared system of record that lets a government health department, a county administrator, or a private hospital verify who is responding to what, hold responders accountable for their conduct and credentials, or measure response-time performance over time. Emergency response in Kenya today is a set of parallel, largely paper-and-phone-call operations rather than one governed network.</w:t>
      </w:r>
    </w:p>
    <w:p>
      <w:pPr>
        <w:pStyle w:val="Heading2"/>
        <w:spacing w:after="140" w:before="260"/>
      </w:pPr>
      <w:r>
        <w:rPr>
          <w:color w:val="3D1152"/>
        </w:rPr>
        <w:t xml:space="preserve">2.5 Why this matters, in numbers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700"/>
      </w:tblGrid>
      <w:tr>
        <w:trPr>
          <w:tblHeader/>
        </w:trPr>
        <w:tc>
          <w:tcPr>
            <w:tcW w:type="dxa" w:w="4200"/>
            <w:shd w:fill="3D1152" w:val="clear"/>
            <w:tcMar>
              <w:top w:type="dxa" w:w="100"/>
              <w:left w:type="dxa" w:w="120"/>
              <w:bottom w:type="dxa" w:w="100"/>
              <w:right w:type="dxa" w:w="120"/>
            </w:tcMar>
            <w:vAlign w:val="center"/>
          </w:tcPr>
          <w:p>
            <w:pPr>
              <w:jc w:val="left"/>
            </w:pPr>
            <w:r>
              <w:rPr>
                <w:b/>
                <w:bCs/>
                <w:color w:val="FFFFFF"/>
                <w:sz w:val="20"/>
                <w:szCs w:val="20"/>
              </w:rPr>
              <w:t xml:space="preserve">Indicator</w:t>
            </w:r>
          </w:p>
        </w:tc>
        <w:tc>
          <w:tcPr>
            <w:tcW w:type="dxa" w:w="3200"/>
            <w:shd w:fill="3D1152" w:val="clear"/>
            <w:tcMar>
              <w:top w:type="dxa" w:w="100"/>
              <w:left w:type="dxa" w:w="120"/>
              <w:bottom w:type="dxa" w:w="100"/>
              <w:right w:type="dxa" w:w="120"/>
            </w:tcMar>
            <w:vAlign w:val="center"/>
          </w:tcPr>
          <w:p>
            <w:pPr>
              <w:jc w:val="left"/>
            </w:pPr>
            <w:r>
              <w:rPr>
                <w:b/>
                <w:bCs/>
                <w:color w:val="FFFFFF"/>
                <w:sz w:val="20"/>
                <w:szCs w:val="20"/>
              </w:rPr>
              <w:t xml:space="preserve">Figure</w:t>
            </w:r>
          </w:p>
        </w:tc>
        <w:tc>
          <w:tcPr>
            <w:tcW w:type="dxa" w:w="2700"/>
            <w:shd w:fill="3D1152" w:val="clear"/>
            <w:tcMar>
              <w:top w:type="dxa" w:w="100"/>
              <w:left w:type="dxa" w:w="120"/>
              <w:bottom w:type="dxa" w:w="100"/>
              <w:right w:type="dxa" w:w="120"/>
            </w:tcMar>
            <w:vAlign w:val="center"/>
          </w:tcPr>
          <w:p>
            <w:pPr>
              <w:jc w:val="left"/>
            </w:pPr>
            <w:r>
              <w:rPr>
                <w:b/>
                <w:bCs/>
                <w:color w:val="FFFFFF"/>
                <w:sz w:val="20"/>
                <w:szCs w:val="20"/>
              </w:rPr>
              <w:t xml:space="preserve">Source</w:t>
            </w:r>
          </w:p>
        </w:tc>
      </w:tr>
      <w:tr>
        <w:tc>
          <w:tcPr>
            <w:tcW w:type="dxa" w:w="4200"/>
            <w:tcMar>
              <w:top w:type="dxa" w:w="100"/>
              <w:left w:type="dxa" w:w="120"/>
              <w:bottom w:type="dxa" w:w="100"/>
              <w:right w:type="dxa" w:w="120"/>
            </w:tcMar>
            <w:vAlign w:val="center"/>
          </w:tcPr>
          <w:p>
            <w:pPr>
              <w:jc w:val="left"/>
            </w:pPr>
            <w:r>
              <w:rPr>
                <w:b w:val="false"/>
                <w:bCs w:val="false"/>
                <w:color w:val="1B1524"/>
                <w:sz w:val="20"/>
                <w:szCs w:val="20"/>
              </w:rPr>
              <w:t xml:space="preserve">Road traffic deaths, Kenya, 2024</w:t>
            </w:r>
          </w:p>
        </w:tc>
        <w:tc>
          <w:tcPr>
            <w:tcW w:type="dxa" w:w="3200"/>
            <w:tcMar>
              <w:top w:type="dxa" w:w="100"/>
              <w:left w:type="dxa" w:w="120"/>
              <w:bottom w:type="dxa" w:w="100"/>
              <w:right w:type="dxa" w:w="120"/>
            </w:tcMar>
            <w:vAlign w:val="center"/>
          </w:tcPr>
          <w:p>
            <w:pPr>
              <w:jc w:val="left"/>
            </w:pPr>
            <w:r>
              <w:rPr>
                <w:b w:val="false"/>
                <w:bCs w:val="false"/>
                <w:color w:val="1B1524"/>
                <w:sz w:val="20"/>
                <w:szCs w:val="20"/>
              </w:rPr>
              <w:t xml:space="preserve">4,748 (+5.2% year-on-year)</w:t>
            </w:r>
          </w:p>
        </w:tc>
        <w:tc>
          <w:tcPr>
            <w:tcW w:type="dxa" w:w="2700"/>
            <w:tcMar>
              <w:top w:type="dxa" w:w="100"/>
              <w:left w:type="dxa" w:w="120"/>
              <w:bottom w:type="dxa" w:w="100"/>
              <w:right w:type="dxa" w:w="120"/>
            </w:tcMar>
            <w:vAlign w:val="center"/>
          </w:tcPr>
          <w:p>
            <w:pPr>
              <w:jc w:val="left"/>
            </w:pPr>
            <w:r>
              <w:rPr>
                <w:b w:val="false"/>
                <w:bCs w:val="false"/>
                <w:color w:val="1B1524"/>
                <w:sz w:val="20"/>
                <w:szCs w:val="20"/>
              </w:rPr>
              <w:t xml:space="preserve">NTSA / The Star, 2025</w:t>
            </w:r>
          </w:p>
        </w:tc>
      </w:tr>
      <w:tr>
        <w:tc>
          <w:tcPr>
            <w:tcW w:type="dxa" w:w="4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Average daily road deaths</w:t>
            </w:r>
          </w:p>
        </w:tc>
        <w:tc>
          <w:tcPr>
            <w:tcW w:type="dxa" w:w="3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≈13 people per day</w:t>
            </w:r>
          </w:p>
        </w:tc>
        <w:tc>
          <w:tcPr>
            <w:tcW w:type="dxa" w:w="2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NTSA</w:t>
            </w:r>
          </w:p>
        </w:tc>
      </w:tr>
      <w:tr>
        <w:tc>
          <w:tcPr>
            <w:tcW w:type="dxa" w:w="4200"/>
            <w:tcMar>
              <w:top w:type="dxa" w:w="100"/>
              <w:left w:type="dxa" w:w="120"/>
              <w:bottom w:type="dxa" w:w="100"/>
              <w:right w:type="dxa" w:w="120"/>
            </w:tcMar>
            <w:vAlign w:val="center"/>
          </w:tcPr>
          <w:p>
            <w:pPr>
              <w:jc w:val="left"/>
            </w:pPr>
            <w:r>
              <w:rPr>
                <w:b w:val="false"/>
                <w:bCs w:val="false"/>
                <w:color w:val="1B1524"/>
                <w:sz w:val="20"/>
                <w:szCs w:val="20"/>
              </w:rPr>
              <w:t xml:space="preserve">Pedestrian deaths, 2024</w:t>
            </w:r>
          </w:p>
        </w:tc>
        <w:tc>
          <w:tcPr>
            <w:tcW w:type="dxa" w:w="3200"/>
            <w:tcMar>
              <w:top w:type="dxa" w:w="100"/>
              <w:left w:type="dxa" w:w="120"/>
              <w:bottom w:type="dxa" w:w="100"/>
              <w:right w:type="dxa" w:w="120"/>
            </w:tcMar>
            <w:vAlign w:val="center"/>
          </w:tcPr>
          <w:p>
            <w:pPr>
              <w:jc w:val="left"/>
            </w:pPr>
            <w:r>
              <w:rPr>
                <w:b w:val="false"/>
                <w:bCs w:val="false"/>
                <w:color w:val="1B1524"/>
                <w:sz w:val="20"/>
                <w:szCs w:val="20"/>
              </w:rPr>
              <w:t xml:space="preserve">4,315 (+10.3% year-on-year)</w:t>
            </w:r>
          </w:p>
        </w:tc>
        <w:tc>
          <w:tcPr>
            <w:tcW w:type="dxa" w:w="2700"/>
            <w:tcMar>
              <w:top w:type="dxa" w:w="100"/>
              <w:left w:type="dxa" w:w="120"/>
              <w:bottom w:type="dxa" w:w="100"/>
              <w:right w:type="dxa" w:w="120"/>
            </w:tcMar>
            <w:vAlign w:val="center"/>
          </w:tcPr>
          <w:p>
            <w:pPr>
              <w:jc w:val="left"/>
            </w:pPr>
            <w:r>
              <w:rPr>
                <w:b w:val="false"/>
                <w:bCs w:val="false"/>
                <w:color w:val="1B1524"/>
                <w:sz w:val="20"/>
                <w:szCs w:val="20"/>
              </w:rPr>
              <w:t xml:space="preserve">NTSA</w:t>
            </w:r>
          </w:p>
        </w:tc>
      </w:tr>
      <w:tr>
        <w:tc>
          <w:tcPr>
            <w:tcW w:type="dxa" w:w="4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WHO-recommended ambulance ratio</w:t>
            </w:r>
          </w:p>
        </w:tc>
        <w:tc>
          <w:tcPr>
            <w:tcW w:type="dxa" w:w="3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1 per 50,000 people</w:t>
            </w:r>
          </w:p>
        </w:tc>
        <w:tc>
          <w:tcPr>
            <w:tcW w:type="dxa" w:w="2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WHO / KIPPRA</w:t>
            </w:r>
          </w:p>
        </w:tc>
      </w:tr>
      <w:tr>
        <w:tc>
          <w:tcPr>
            <w:tcW w:type="dxa" w:w="4200"/>
            <w:tcMar>
              <w:top w:type="dxa" w:w="100"/>
              <w:left w:type="dxa" w:w="120"/>
              <w:bottom w:type="dxa" w:w="100"/>
              <w:right w:type="dxa" w:w="120"/>
            </w:tcMar>
            <w:vAlign w:val="center"/>
          </w:tcPr>
          <w:p>
            <w:pPr>
              <w:jc w:val="left"/>
            </w:pPr>
            <w:r>
              <w:rPr>
                <w:b w:val="false"/>
                <w:bCs w:val="false"/>
                <w:color w:val="1B1524"/>
                <w:sz w:val="20"/>
                <w:szCs w:val="20"/>
              </w:rPr>
              <w:t xml:space="preserve">Ambulances registered under Kenya's new national plan (phase 1)</w:t>
            </w:r>
          </w:p>
        </w:tc>
        <w:tc>
          <w:tcPr>
            <w:tcW w:type="dxa" w:w="3200"/>
            <w:tcMar>
              <w:top w:type="dxa" w:w="100"/>
              <w:left w:type="dxa" w:w="120"/>
              <w:bottom w:type="dxa" w:w="100"/>
              <w:right w:type="dxa" w:w="120"/>
            </w:tcMar>
            <w:vAlign w:val="center"/>
          </w:tcPr>
          <w:p>
            <w:pPr>
              <w:jc w:val="left"/>
            </w:pPr>
            <w:r>
              <w:rPr>
                <w:b w:val="false"/>
                <w:bCs w:val="false"/>
                <w:color w:val="1B1524"/>
                <w:sz w:val="20"/>
                <w:szCs w:val="20"/>
              </w:rPr>
              <w:t xml:space="preserve">113 registered, 59 inspected</w:t>
            </w:r>
          </w:p>
        </w:tc>
        <w:tc>
          <w:tcPr>
            <w:tcW w:type="dxa" w:w="2700"/>
            <w:tcMar>
              <w:top w:type="dxa" w:w="100"/>
              <w:left w:type="dxa" w:w="120"/>
              <w:bottom w:type="dxa" w:w="100"/>
              <w:right w:type="dxa" w:w="120"/>
            </w:tcMar>
            <w:vAlign w:val="center"/>
          </w:tcPr>
          <w:p>
            <w:pPr>
              <w:jc w:val="left"/>
            </w:pPr>
            <w:r>
              <w:rPr>
                <w:b w:val="false"/>
                <w:bCs w:val="false"/>
                <w:color w:val="1B1524"/>
                <w:sz w:val="20"/>
                <w:szCs w:val="20"/>
              </w:rPr>
              <w:t xml:space="preserve">Ministry of Health, 2025</w:t>
            </w:r>
          </w:p>
        </w:tc>
      </w:tr>
      <w:tr>
        <w:tc>
          <w:tcPr>
            <w:tcW w:type="dxa" w:w="4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Population within 1 hour of a public emergency department</w:t>
            </w:r>
          </w:p>
        </w:tc>
        <w:tc>
          <w:tcPr>
            <w:tcW w:type="dxa" w:w="3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93.7%</w:t>
            </w:r>
          </w:p>
        </w:tc>
        <w:tc>
          <w:tcPr>
            <w:tcW w:type="dxa" w:w="2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PMC / national EMS study</w:t>
            </w:r>
          </w:p>
        </w:tc>
      </w:tr>
      <w:tr>
        <w:tc>
          <w:tcPr>
            <w:tcW w:type="dxa" w:w="4200"/>
            <w:tcMar>
              <w:top w:type="dxa" w:w="100"/>
              <w:left w:type="dxa" w:w="120"/>
              <w:bottom w:type="dxa" w:w="100"/>
              <w:right w:type="dxa" w:w="120"/>
            </w:tcMar>
            <w:vAlign w:val="center"/>
          </w:tcPr>
          <w:p>
            <w:pPr>
              <w:jc w:val="left"/>
            </w:pPr>
            <w:r>
              <w:rPr>
                <w:b w:val="false"/>
                <w:bCs w:val="false"/>
                <w:color w:val="1B1524"/>
                <w:sz w:val="20"/>
                <w:szCs w:val="20"/>
              </w:rPr>
              <w:t xml:space="preserve">Response-time cut achieved by coordinated dispatch (Rescue.co)</w:t>
            </w:r>
          </w:p>
        </w:tc>
        <w:tc>
          <w:tcPr>
            <w:tcW w:type="dxa" w:w="3200"/>
            <w:tcMar>
              <w:top w:type="dxa" w:w="100"/>
              <w:left w:type="dxa" w:w="120"/>
              <w:bottom w:type="dxa" w:w="100"/>
              <w:right w:type="dxa" w:w="120"/>
            </w:tcMar>
            <w:vAlign w:val="center"/>
          </w:tcPr>
          <w:p>
            <w:pPr>
              <w:jc w:val="left"/>
            </w:pPr>
            <w:r>
              <w:rPr>
                <w:b w:val="false"/>
                <w:bCs w:val="false"/>
                <w:color w:val="1B1524"/>
                <w:sz w:val="20"/>
                <w:szCs w:val="20"/>
              </w:rPr>
              <w:t xml:space="preserve">&gt;160 min to 13 min (urban); &lt;30 min (rural)</w:t>
            </w:r>
          </w:p>
        </w:tc>
        <w:tc>
          <w:tcPr>
            <w:tcW w:type="dxa" w:w="2700"/>
            <w:tcMar>
              <w:top w:type="dxa" w:w="100"/>
              <w:left w:type="dxa" w:w="120"/>
              <w:bottom w:type="dxa" w:w="100"/>
              <w:right w:type="dxa" w:w="120"/>
            </w:tcMar>
            <w:vAlign w:val="center"/>
          </w:tcPr>
          <w:p>
            <w:pPr>
              <w:jc w:val="left"/>
            </w:pPr>
            <w:r>
              <w:rPr>
                <w:b w:val="false"/>
                <w:bCs w:val="false"/>
                <w:color w:val="1B1524"/>
                <w:sz w:val="20"/>
                <w:szCs w:val="20"/>
              </w:rPr>
              <w:t xml:space="preserve">Rescue.co</w:t>
            </w:r>
          </w:p>
        </w:tc>
      </w:tr>
    </w:tbl>
    <w:p>
      <w:pPr>
        <w:spacing w:after="200"/>
      </w:pPr>
      <w:r>
        <w:rPr>
          <w:i/>
          <w:iCs/>
          <w:color w:val="6B6675"/>
          <w:sz w:val="18"/>
          <w:szCs w:val="18"/>
        </w:rPr>
        <w:t xml:space="preserve">Sources: NTSA road safety data as reported by The Star (2025); WHO ambulance benchmark as cited by KIPPRA; Kenya Ministry of Health emergency response plan reporting; peer-reviewed pre-hospital care coverage study (PMC); Rescue.co published outcomes.</w:t>
      </w:r>
    </w:p>
    <w:p>
      <w:r>
        <w:br w:type="page"/>
      </w:r>
    </w:p>
    <w:p>
      <w:pPr>
        <w:pStyle w:val="Heading1"/>
        <w:spacing w:after="200" w:before="320"/>
      </w:pPr>
      <w:r>
        <w:rPr>
          <w:color w:val="1E0830"/>
        </w:rPr>
        <w:t xml:space="preserve">3. The Solution</w:t>
      </w:r>
    </w:p>
    <w:p>
      <w:pPr>
        <w:spacing w:after="160" w:line="276"/>
      </w:pPr>
      <w:r>
        <w:rPr>
          <w:color w:val="1B1524"/>
          <w:sz w:val="22"/>
          <w:szCs w:val="22"/>
        </w:rPr>
        <w:t xml:space="preserve">eKonnect is a single connected platform with four purpose-built experiences, all reading and writing to the same real-time backend so that a patient, a responder and an administrator are always looking at the same truth.</w:t>
      </w:r>
    </w:p>
    <w:p>
      <w:pPr>
        <w:pStyle w:val="Heading2"/>
        <w:spacing w:after="140" w:before="260"/>
      </w:pPr>
      <w:r>
        <w:rPr>
          <w:color w:val="3D1152"/>
        </w:rPr>
        <w:t xml:space="preserve">3.1 The Patient App</w:t>
      </w:r>
    </w:p>
    <w:p>
      <w:pPr>
        <w:spacing w:after="160" w:line="276"/>
      </w:pPr>
      <w:r>
        <w:rPr>
          <w:color w:val="1B1524"/>
          <w:sz w:val="22"/>
          <w:szCs w:val="22"/>
        </w:rPr>
        <w:t xml:space="preserve">A citizen opens the app to a live map of on-duty responders near them, with one clear question: "What's your emergency?" They tap a category — Medical, Fire, Flood or Security — then hold a button for one deliberate second to confirm and send. That short hold is intentional: it is long enough to prevent an accidental SOS, short enough to never slow down a real one. The moment it fires, the user's live GPS location and profile are broadcast to nearby verified responders, and the app switches into a tracking view showing the assigned responder's live position, ETA, and one-tap Call and Chat actions.</w:t>
      </w:r>
    </w:p>
    <w:p>
      <w:pPr>
        <w:pStyle w:val="ListParagraph"/>
        <w:numPr>
          <w:ilvl w:val="0"/>
          <w:numId w:val="2"/>
        </w:numPr>
        <w:spacing w:after="90"/>
      </w:pPr>
      <w:r>
        <w:rPr>
          <w:color w:val="1B1524"/>
          <w:sz w:val="22"/>
          <w:szCs w:val="22"/>
        </w:rPr>
        <w:t xml:space="preserve">Hold-to-send SOS across four incident types, each triaged and colour-coded</w:t>
      </w:r>
    </w:p>
    <w:p>
      <w:pPr>
        <w:pStyle w:val="ListParagraph"/>
        <w:numPr>
          <w:ilvl w:val="0"/>
          <w:numId w:val="2"/>
        </w:numPr>
        <w:spacing w:after="90"/>
      </w:pPr>
      <w:r>
        <w:rPr>
          <w:color w:val="1B1524"/>
          <w:sz w:val="22"/>
          <w:szCs w:val="22"/>
        </w:rPr>
        <w:t xml:space="preserve">Voice reporting: a caller who is panicked, injured, or unsure what to call their emergency can instead describe it out loud; an AI triage layer classifies the type and severity, extracts key facts, and drafts a note the responder sees on arrival — while always leaving a manual override in the caller's hands</w:t>
      </w:r>
    </w:p>
    <w:p>
      <w:pPr>
        <w:pStyle w:val="ListParagraph"/>
        <w:numPr>
          <w:ilvl w:val="0"/>
          <w:numId w:val="2"/>
        </w:numPr>
        <w:spacing w:after="90"/>
      </w:pPr>
      <w:r>
        <w:rPr>
          <w:color w:val="1B1524"/>
          <w:sz w:val="22"/>
          <w:szCs w:val="22"/>
        </w:rPr>
        <w:t xml:space="preserve">A permanent, one-tap "Call 999" fallback on every screen, because the app must never become a single point of failure between a citizen and help</w:t>
      </w:r>
    </w:p>
    <w:p>
      <w:pPr>
        <w:pStyle w:val="ListParagraph"/>
        <w:numPr>
          <w:ilvl w:val="0"/>
          <w:numId w:val="2"/>
        </w:numPr>
        <w:spacing w:after="90"/>
      </w:pPr>
      <w:r>
        <w:rPr>
          <w:color w:val="1B1524"/>
          <w:sz w:val="22"/>
          <w:szCs w:val="22"/>
        </w:rPr>
        <w:t xml:space="preserve">Live tracking of the assigned responder, cancellation with a structured reason (accidental press, found other help, wrong category, etc.) so the platform can tell a false alarm from a real gap in coverage</w:t>
      </w:r>
    </w:p>
    <w:p>
      <w:pPr>
        <w:pStyle w:val="ListParagraph"/>
        <w:numPr>
          <w:ilvl w:val="0"/>
          <w:numId w:val="2"/>
        </w:numPr>
        <w:spacing w:after="90"/>
      </w:pPr>
      <w:r>
        <w:rPr>
          <w:color w:val="1B1524"/>
          <w:sz w:val="22"/>
          <w:szCs w:val="22"/>
        </w:rPr>
        <w:t xml:space="preserve">Incident history, an in-app tutorial, and a built-in emergency AI assistant for calm, practical guidance while help is on the way</w:t>
      </w:r>
    </w:p>
    <w:p>
      <w:pPr>
        <w:pStyle w:val="Heading2"/>
        <w:spacing w:after="140" w:before="260"/>
      </w:pPr>
      <w:r>
        <w:rPr>
          <w:color w:val="3D1152"/>
        </w:rPr>
        <w:t xml:space="preserve">3.2 The Responder App — Ambulance Drivers &amp; Medical Practitioners</w:t>
      </w:r>
    </w:p>
    <w:p>
      <w:pPr>
        <w:spacing w:after="160" w:line="276"/>
      </w:pPr>
      <w:r>
        <w:rPr>
          <w:color w:val="1B1524"/>
          <w:sz w:val="22"/>
          <w:szCs w:val="22"/>
        </w:rPr>
        <w:t xml:space="preserve">The same application serves verified responders in a dedicated mode: a duty toggle to go on- or off-shift, a live feed of incoming incidents with an Accept action, and turn-by-turn voice-guided navigation to the patient once accepted. A responder can operate in either first-accept mode (fastest responder wins, ideal for dense urban coverage) or auto-nearest mode (the system assigns the closest available unit, ideal where responders are sparse), depending on how their organisation is configured by an administrator.</w:t>
      </w:r>
    </w:p>
    <w:p>
      <w:pPr>
        <w:pStyle w:val="ListParagraph"/>
        <w:numPr>
          <w:ilvl w:val="0"/>
          <w:numId w:val="2"/>
        </w:numPr>
        <w:spacing w:after="90"/>
      </w:pPr>
      <w:r>
        <w:rPr>
          <w:color w:val="1B1524"/>
          <w:sz w:val="22"/>
          <w:szCs w:val="22"/>
        </w:rPr>
        <w:t xml:space="preserve">Go on/off duty; see live counts of incoming, on-duty and assigned incidents</w:t>
      </w:r>
    </w:p>
    <w:p>
      <w:pPr>
        <w:pStyle w:val="ListParagraph"/>
        <w:numPr>
          <w:ilvl w:val="0"/>
          <w:numId w:val="2"/>
        </w:numPr>
        <w:spacing w:after="90"/>
      </w:pPr>
      <w:r>
        <w:rPr>
          <w:color w:val="1B1524"/>
          <w:sz w:val="22"/>
          <w:szCs w:val="22"/>
        </w:rPr>
        <w:t xml:space="preserve">Accept, navigate to, and resolve an incident, with the patient's live location and AI-drafted triage notes on screen</w:t>
      </w:r>
    </w:p>
    <w:p>
      <w:pPr>
        <w:pStyle w:val="ListParagraph"/>
        <w:numPr>
          <w:ilvl w:val="0"/>
          <w:numId w:val="2"/>
        </w:numPr>
        <w:spacing w:after="90"/>
      </w:pPr>
      <w:r>
        <w:rPr>
          <w:color w:val="1B1524"/>
          <w:sz w:val="22"/>
          <w:szCs w:val="22"/>
        </w:rPr>
        <w:t xml:space="preserve">Practitioners can switch into the citizen SOS mode themselves without losing their professional role — useful when an off-duty medic needs to report an emergency of their own</w:t>
      </w:r>
    </w:p>
    <w:p>
      <w:pPr>
        <w:pStyle w:val="Heading2"/>
        <w:spacing w:after="140" w:before="260"/>
      </w:pPr>
      <w:r>
        <w:rPr>
          <w:color w:val="3D1152"/>
        </w:rPr>
        <w:t xml:space="preserve">3.3 The Admin Dashboard</w:t>
      </w:r>
    </w:p>
    <w:p>
      <w:pPr>
        <w:spacing w:after="160" w:line="276"/>
      </w:pPr>
      <w:r>
        <w:rPr>
          <w:color w:val="1B1524"/>
          <w:sz w:val="22"/>
          <w:szCs w:val="22"/>
        </w:rPr>
        <w:t xml:space="preserve">A web dashboard, built for county health officers, hospital operations managers, or an NGO programme coordinator, gives full operational and governance control:</w:t>
      </w:r>
    </w:p>
    <w:p>
      <w:pPr>
        <w:pStyle w:val="ListParagraph"/>
        <w:numPr>
          <w:ilvl w:val="0"/>
          <w:numId w:val="2"/>
        </w:numPr>
        <w:spacing w:after="90"/>
      </w:pPr>
      <w:r>
        <w:rPr>
          <w:color w:val="1B1524"/>
          <w:sz w:val="22"/>
          <w:szCs w:val="22"/>
        </w:rPr>
        <w:t xml:space="preserve">A live map of every active incident with status, assigned responder and elapsed time, alongside a real-time incident list</w:t>
      </w:r>
    </w:p>
    <w:p>
      <w:pPr>
        <w:pStyle w:val="ListParagraph"/>
        <w:numPr>
          <w:ilvl w:val="0"/>
          <w:numId w:val="2"/>
        </w:numPr>
        <w:spacing w:after="90"/>
      </w:pPr>
      <w:r>
        <w:rPr>
          <w:color w:val="1B1524"/>
          <w:sz w:val="22"/>
          <w:szCs w:val="22"/>
        </w:rPr>
        <w:t xml:space="preserve">Responder verification: every ambulance driver or practitioner passes through a pending → verified (or rejected/suspended) pipeline before they can go on duty, with license numbers, vehicle registration and specialisation captured and checked — an unvetted stranger can never simply put themselves onto the public network</w:t>
      </w:r>
    </w:p>
    <w:p>
      <w:pPr>
        <w:pStyle w:val="ListParagraph"/>
        <w:numPr>
          <w:ilvl w:val="0"/>
          <w:numId w:val="2"/>
        </w:numPr>
        <w:spacing w:after="90"/>
      </w:pPr>
      <w:r>
        <w:rPr>
          <w:color w:val="1B1524"/>
          <w:sz w:val="22"/>
          <w:szCs w:val="22"/>
        </w:rPr>
        <w:t xml:space="preserve">Team management: group responders into organisations (a county fleet, a private hospital's ambulances, a company's on-site medics), assign which incident types each team responds to, and choose their assignment mode</w:t>
      </w:r>
    </w:p>
    <w:p>
      <w:pPr>
        <w:pStyle w:val="ListParagraph"/>
        <w:numPr>
          <w:ilvl w:val="0"/>
          <w:numId w:val="2"/>
        </w:numPr>
        <w:spacing w:after="90"/>
      </w:pPr>
      <w:r>
        <w:rPr>
          <w:color w:val="1B1524"/>
          <w:sz w:val="22"/>
          <w:szCs w:val="22"/>
        </w:rPr>
        <w:t xml:space="preserve">Public vs. private responder visibility: a public team answers any nearby citizen SOS; a private team answers only its own organisation's subscribers or incidents an admin assigns directly — the two networks share the same platform but never cross wires without an admin's decision</w:t>
      </w:r>
    </w:p>
    <w:p>
      <w:pPr>
        <w:pStyle w:val="Heading2"/>
        <w:spacing w:after="140" w:before="260"/>
      </w:pPr>
      <w:r>
        <w:rPr>
          <w:color w:val="3D1152"/>
        </w:rPr>
        <w:t xml:space="preserve">3.4 AI-Assisted Triage — a Safety Net, Never a Gatekeeper</w:t>
      </w:r>
    </w:p>
    <w:p>
      <w:pPr>
        <w:spacing w:after="160" w:line="276"/>
      </w:pPr>
      <w:r>
        <w:rPr>
          <w:color w:val="1B1524"/>
          <w:sz w:val="22"/>
          <w:szCs w:val="22"/>
        </w:rPr>
        <w:t xml:space="preserve">eKonnect's voice-reporting flow uses a large language model to turn a messy, panicked spoken description into a structured dispatch record: incident type, severity, a one-line summary a dispatcher can read at a glance, key facts, and immediate safety advice for the caller. Two design decisions keep this safe rather than risky: the model never blocks the emergency — if every AI call fails, the user is simply asked to pick a category by hand and the SOS still fires; and low-confidence classifications are flagged for the user to confirm rather than silently trusted. The AI assists triage; it never gatekeeps it.</w:t>
      </w:r>
    </w:p>
    <w:p>
      <w:pPr>
        <w:pStyle w:val="Heading2"/>
        <w:spacing w:after="140" w:before="260"/>
      </w:pPr>
      <w:r>
        <w:rPr>
          <w:color w:val="3D1152"/>
        </w:rPr>
        <w:t xml:space="preserve">3.5 Technology Stack</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800"/>
      </w:tblGrid>
      <w:tr>
        <w:trPr>
          <w:tblHeader/>
        </w:trPr>
        <w:tc>
          <w:tcPr>
            <w:tcW w:type="dxa" w:w="2600"/>
            <w:shd w:fill="3D1152"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3700"/>
            <w:shd w:fill="3D1152" w:val="clear"/>
            <w:tcMar>
              <w:top w:type="dxa" w:w="100"/>
              <w:left w:type="dxa" w:w="120"/>
              <w:bottom w:type="dxa" w:w="100"/>
              <w:right w:type="dxa" w:w="120"/>
            </w:tcMar>
            <w:vAlign w:val="center"/>
          </w:tcPr>
          <w:p>
            <w:pPr>
              <w:jc w:val="left"/>
            </w:pPr>
            <w:r>
              <w:rPr>
                <w:b/>
                <w:bCs/>
                <w:color w:val="FFFFFF"/>
                <w:sz w:val="20"/>
                <w:szCs w:val="20"/>
              </w:rPr>
              <w:t xml:space="preserve">Technology</w:t>
            </w:r>
          </w:p>
        </w:tc>
        <w:tc>
          <w:tcPr>
            <w:tcW w:type="dxa" w:w="3800"/>
            <w:shd w:fill="3D1152" w:val="clear"/>
            <w:tcMar>
              <w:top w:type="dxa" w:w="100"/>
              <w:left w:type="dxa" w:w="120"/>
              <w:bottom w:type="dxa" w:w="100"/>
              <w:right w:type="dxa" w:w="120"/>
            </w:tcMar>
            <w:vAlign w:val="center"/>
          </w:tcPr>
          <w:p>
            <w:pPr>
              <w:jc w:val="left"/>
            </w:pPr>
            <w:r>
              <w:rPr>
                <w:b/>
                <w:bCs/>
                <w:color w:val="FFFFFF"/>
                <w:sz w:val="20"/>
                <w:szCs w:val="20"/>
              </w:rPr>
              <w:t xml:space="preserve">Why it fits</w:t>
            </w:r>
          </w:p>
        </w:tc>
      </w:tr>
      <w:tr>
        <w:tc>
          <w:tcPr>
            <w:tcW w:type="dxa" w:w="2600"/>
            <w:tcMar>
              <w:top w:type="dxa" w:w="100"/>
              <w:left w:type="dxa" w:w="120"/>
              <w:bottom w:type="dxa" w:w="100"/>
              <w:right w:type="dxa" w:w="120"/>
            </w:tcMar>
            <w:vAlign w:val="center"/>
          </w:tcPr>
          <w:p>
            <w:pPr>
              <w:jc w:val="left"/>
            </w:pPr>
            <w:r>
              <w:rPr>
                <w:b w:val="false"/>
                <w:bCs w:val="false"/>
                <w:color w:val="1B1524"/>
                <w:sz w:val="20"/>
                <w:szCs w:val="20"/>
              </w:rPr>
              <w:t xml:space="preserve">Mobile app (patient &amp; responder)</w:t>
            </w:r>
          </w:p>
        </w:tc>
        <w:tc>
          <w:tcPr>
            <w:tcW w:type="dxa" w:w="3700"/>
            <w:tcMar>
              <w:top w:type="dxa" w:w="100"/>
              <w:left w:type="dxa" w:w="120"/>
              <w:bottom w:type="dxa" w:w="100"/>
              <w:right w:type="dxa" w:w="120"/>
            </w:tcMar>
            <w:vAlign w:val="center"/>
          </w:tcPr>
          <w:p>
            <w:pPr>
              <w:jc w:val="left"/>
            </w:pPr>
            <w:r>
              <w:rPr>
                <w:b w:val="false"/>
                <w:bCs w:val="false"/>
                <w:color w:val="1B1524"/>
                <w:sz w:val="20"/>
                <w:szCs w:val="20"/>
              </w:rPr>
              <w:t xml:space="preserve">Flutter, Provider state management</w:t>
            </w:r>
          </w:p>
        </w:tc>
        <w:tc>
          <w:tcPr>
            <w:tcW w:type="dxa" w:w="3800"/>
            <w:tcMar>
              <w:top w:type="dxa" w:w="100"/>
              <w:left w:type="dxa" w:w="120"/>
              <w:bottom w:type="dxa" w:w="100"/>
              <w:right w:type="dxa" w:w="120"/>
            </w:tcMar>
            <w:vAlign w:val="center"/>
          </w:tcPr>
          <w:p>
            <w:pPr>
              <w:jc w:val="left"/>
            </w:pPr>
            <w:r>
              <w:rPr>
                <w:b w:val="false"/>
                <w:bCs w:val="false"/>
                <w:color w:val="1B1524"/>
                <w:sz w:val="20"/>
                <w:szCs w:val="20"/>
              </w:rPr>
              <w:t xml:space="preserve">One codebase for Android and iOS; fast iteration on a rich, animated UI</w:t>
            </w:r>
          </w:p>
        </w:tc>
      </w:tr>
      <w:tr>
        <w:tc>
          <w:tcPr>
            <w:tcW w:type="dxa" w:w="26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Backend &amp; real-time data</w:t>
            </w:r>
          </w:p>
        </w:tc>
        <w:tc>
          <w:tcPr>
            <w:tcW w:type="dxa" w:w="3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Firebase — Firestore, Realtime Database, Authentication, Cloud Messaging</w:t>
            </w:r>
          </w:p>
        </w:tc>
        <w:tc>
          <w:tcPr>
            <w:tcW w:type="dxa" w:w="3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Real-time sync between patient, responder and admin views without building custom infrastructure; scales automatically</w:t>
            </w:r>
          </w:p>
        </w:tc>
      </w:tr>
      <w:tr>
        <w:tc>
          <w:tcPr>
            <w:tcW w:type="dxa" w:w="2600"/>
            <w:tcMar>
              <w:top w:type="dxa" w:w="100"/>
              <w:left w:type="dxa" w:w="120"/>
              <w:bottom w:type="dxa" w:w="100"/>
              <w:right w:type="dxa" w:w="120"/>
            </w:tcMar>
            <w:vAlign w:val="center"/>
          </w:tcPr>
          <w:p>
            <w:pPr>
              <w:jc w:val="left"/>
            </w:pPr>
            <w:r>
              <w:rPr>
                <w:b w:val="false"/>
                <w:bCs w:val="false"/>
                <w:color w:val="1B1524"/>
                <w:sz w:val="20"/>
                <w:szCs w:val="20"/>
              </w:rPr>
              <w:t xml:space="preserve">Maps &amp; location</w:t>
            </w:r>
          </w:p>
        </w:tc>
        <w:tc>
          <w:tcPr>
            <w:tcW w:type="dxa" w:w="3700"/>
            <w:tcMar>
              <w:top w:type="dxa" w:w="100"/>
              <w:left w:type="dxa" w:w="120"/>
              <w:bottom w:type="dxa" w:w="100"/>
              <w:right w:type="dxa" w:w="120"/>
            </w:tcMar>
            <w:vAlign w:val="center"/>
          </w:tcPr>
          <w:p>
            <w:pPr>
              <w:jc w:val="left"/>
            </w:pPr>
            <w:r>
              <w:rPr>
                <w:b w:val="false"/>
                <w:bCs w:val="false"/>
                <w:color w:val="1B1524"/>
                <w:sz w:val="20"/>
                <w:szCs w:val="20"/>
              </w:rPr>
              <w:t xml:space="preserve">Google Maps SDK, Geolocator</w:t>
            </w:r>
          </w:p>
        </w:tc>
        <w:tc>
          <w:tcPr>
            <w:tcW w:type="dxa" w:w="3800"/>
            <w:tcMar>
              <w:top w:type="dxa" w:w="100"/>
              <w:left w:type="dxa" w:w="120"/>
              <w:bottom w:type="dxa" w:w="100"/>
              <w:right w:type="dxa" w:w="120"/>
            </w:tcMar>
            <w:vAlign w:val="center"/>
          </w:tcPr>
          <w:p>
            <w:pPr>
              <w:jc w:val="left"/>
            </w:pPr>
            <w:r>
              <w:rPr>
                <w:b w:val="false"/>
                <w:bCs w:val="false"/>
                <w:color w:val="1B1524"/>
                <w:sz w:val="20"/>
                <w:szCs w:val="20"/>
              </w:rPr>
              <w:t xml:space="preserve">Live tracking, routing and turn-by-turn voice guidance</w:t>
            </w:r>
          </w:p>
        </w:tc>
      </w:tr>
      <w:tr>
        <w:tc>
          <w:tcPr>
            <w:tcW w:type="dxa" w:w="26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Admin dashboard</w:t>
            </w:r>
          </w:p>
        </w:tc>
        <w:tc>
          <w:tcPr>
            <w:tcW w:type="dxa" w:w="3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React, Vite, Tailwind CSS, Firebase JS SDK</w:t>
            </w:r>
          </w:p>
        </w:tc>
        <w:tc>
          <w:tcPr>
            <w:tcW w:type="dxa" w:w="3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Fast, maintainable web console with the same real-time data as the apps</w:t>
            </w:r>
          </w:p>
        </w:tc>
      </w:tr>
      <w:tr>
        <w:tc>
          <w:tcPr>
            <w:tcW w:type="dxa" w:w="2600"/>
            <w:tcMar>
              <w:top w:type="dxa" w:w="100"/>
              <w:left w:type="dxa" w:w="120"/>
              <w:bottom w:type="dxa" w:w="100"/>
              <w:right w:type="dxa" w:w="120"/>
            </w:tcMar>
            <w:vAlign w:val="center"/>
          </w:tcPr>
          <w:p>
            <w:pPr>
              <w:jc w:val="left"/>
            </w:pPr>
            <w:r>
              <w:rPr>
                <w:b w:val="false"/>
                <w:bCs w:val="false"/>
                <w:color w:val="1B1524"/>
                <w:sz w:val="20"/>
                <w:szCs w:val="20"/>
              </w:rPr>
              <w:t xml:space="preserve">AI triage &amp; assistant</w:t>
            </w:r>
          </w:p>
        </w:tc>
        <w:tc>
          <w:tcPr>
            <w:tcW w:type="dxa" w:w="3700"/>
            <w:tcMar>
              <w:top w:type="dxa" w:w="100"/>
              <w:left w:type="dxa" w:w="120"/>
              <w:bottom w:type="dxa" w:w="100"/>
              <w:right w:type="dxa" w:w="120"/>
            </w:tcMar>
            <w:vAlign w:val="center"/>
          </w:tcPr>
          <w:p>
            <w:pPr>
              <w:jc w:val="left"/>
            </w:pPr>
            <w:r>
              <w:rPr>
                <w:b w:val="false"/>
                <w:bCs w:val="false"/>
                <w:color w:val="1B1524"/>
                <w:sz w:val="20"/>
                <w:szCs w:val="20"/>
              </w:rPr>
              <w:t xml:space="preserve">Groq-hosted LLM (Llama 3.3 70B)</w:t>
            </w:r>
          </w:p>
        </w:tc>
        <w:tc>
          <w:tcPr>
            <w:tcW w:type="dxa" w:w="3800"/>
            <w:tcMar>
              <w:top w:type="dxa" w:w="100"/>
              <w:left w:type="dxa" w:w="120"/>
              <w:bottom w:type="dxa" w:w="100"/>
              <w:right w:type="dxa" w:w="120"/>
            </w:tcMar>
            <w:vAlign w:val="center"/>
          </w:tcPr>
          <w:p>
            <w:pPr>
              <w:jc w:val="left"/>
            </w:pPr>
            <w:r>
              <w:rPr>
                <w:b w:val="false"/>
                <w:bCs w:val="false"/>
                <w:color w:val="1B1524"/>
                <w:sz w:val="20"/>
                <w:szCs w:val="20"/>
              </w:rPr>
              <w:t xml:space="preserve">Low-latency inference suited to a live emergency-reporting flow</w:t>
            </w:r>
          </w:p>
        </w:tc>
      </w:tr>
      <w:tr>
        <w:tc>
          <w:tcPr>
            <w:tcW w:type="dxa" w:w="26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Voice</w:t>
            </w:r>
          </w:p>
        </w:tc>
        <w:tc>
          <w:tcPr>
            <w:tcW w:type="dxa" w:w="3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flutter_tts, speech_to_text</w:t>
            </w:r>
          </w:p>
        </w:tc>
        <w:tc>
          <w:tcPr>
            <w:tcW w:type="dxa" w:w="3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Spoken emergency reporting and spoken turn-by-turn guidance</w:t>
            </w:r>
          </w:p>
        </w:tc>
      </w:tr>
    </w:tbl>
    <w:p>
      <w:r>
        <w:br w:type="page"/>
      </w:r>
    </w:p>
    <w:p>
      <w:pPr>
        <w:pStyle w:val="Heading1"/>
        <w:spacing w:after="200" w:before="320"/>
      </w:pPr>
      <w:r>
        <w:rPr>
          <w:color w:val="1E0830"/>
        </w:rPr>
        <w:t xml:space="preserve">4. Market Analysis</w:t>
      </w:r>
    </w:p>
    <w:p>
      <w:pPr>
        <w:pStyle w:val="Heading2"/>
        <w:spacing w:after="140" w:before="260"/>
      </w:pPr>
      <w:r>
        <w:rPr>
          <w:color w:val="3D1152"/>
        </w:rPr>
        <w:t xml:space="preserve">4.1 Market size and readiness</w:t>
      </w:r>
    </w:p>
    <w:p>
      <w:pPr>
        <w:spacing w:after="160" w:line="276"/>
      </w:pPr>
      <w:r>
        <w:rPr>
          <w:color w:val="1B1524"/>
          <w:sz w:val="22"/>
          <w:szCs w:val="22"/>
        </w:rPr>
        <w:t xml:space="preserve">Kenya recorded 4,748 road traffic deaths in 2024 alone, on top of the ordinary daily burden of medical emergencies, fires, floods and security incidents that every county in the country handles. Each of those incidents is a potential eKonnect dispatch, whether the responder is a public county ambulance, a private hospital fleet, or a company's on-site medical team. The digital infrastructure to reach this need is already in place: Kenya has 78.3 million mobile connections (149.4% penetration) and 92.9% smartphone penetration, with smartphones the primary way most Kenyans access the internet. This is not a market that needs to be built from scratch on the device side — it needs a coordination layer on top of phones people already carry.</w:t>
      </w:r>
    </w:p>
    <w:p>
      <w:pPr>
        <w:pStyle w:val="Heading2"/>
        <w:spacing w:after="140" w:before="260"/>
      </w:pPr>
      <w:r>
        <w:rPr>
          <w:color w:val="3D1152"/>
        </w:rPr>
        <w:t xml:space="preserve">4.2 Competitive landscape</w:t>
      </w:r>
    </w:p>
    <w:p>
      <w:pPr>
        <w:spacing w:after="160" w:line="276"/>
      </w:pPr>
      <w:r>
        <w:rPr>
          <w:color w:val="1B1524"/>
          <w:sz w:val="22"/>
          <w:szCs w:val="22"/>
        </w:rPr>
        <w:t xml:space="preserve">eKonnect is not the first attempt to bring technology to Kenyan emergency response, and that is a point in its favour: it means the core idea — coordinated, technology-driven dispatch — is proven to work here.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500"/>
      </w:tblGrid>
      <w:tr>
        <w:trPr>
          <w:tblHeader/>
        </w:trPr>
        <w:tc>
          <w:tcPr>
            <w:tcW w:type="dxa" w:w="2000"/>
            <w:shd w:fill="3D1152" w:val="clear"/>
            <w:tcMar>
              <w:top w:type="dxa" w:w="100"/>
              <w:left w:type="dxa" w:w="120"/>
              <w:bottom w:type="dxa" w:w="100"/>
              <w:right w:type="dxa" w:w="120"/>
            </w:tcMar>
            <w:vAlign w:val="center"/>
          </w:tcPr>
          <w:p>
            <w:pPr>
              <w:jc w:val="left"/>
            </w:pPr>
            <w:r>
              <w:rPr>
                <w:b/>
                <w:bCs/>
                <w:color w:val="FFFFFF"/>
                <w:sz w:val="20"/>
                <w:szCs w:val="20"/>
              </w:rPr>
              <w:t xml:space="preserve">Player</w:t>
            </w:r>
          </w:p>
        </w:tc>
        <w:tc>
          <w:tcPr>
            <w:tcW w:type="dxa" w:w="2400"/>
            <w:shd w:fill="3D1152" w:val="clear"/>
            <w:tcMar>
              <w:top w:type="dxa" w:w="100"/>
              <w:left w:type="dxa" w:w="120"/>
              <w:bottom w:type="dxa" w:w="100"/>
              <w:right w:type="dxa" w:w="120"/>
            </w:tcMar>
            <w:vAlign w:val="center"/>
          </w:tcPr>
          <w:p>
            <w:pPr>
              <w:jc w:val="left"/>
            </w:pPr>
            <w:r>
              <w:rPr>
                <w:b/>
                <w:bCs/>
                <w:color w:val="FFFFFF"/>
                <w:sz w:val="20"/>
                <w:szCs w:val="20"/>
              </w:rPr>
              <w:t xml:space="preserve">Model</w:t>
            </w:r>
          </w:p>
        </w:tc>
        <w:tc>
          <w:tcPr>
            <w:tcW w:type="dxa" w:w="2800"/>
            <w:shd w:fill="3D1152" w:val="clear"/>
            <w:tcMar>
              <w:top w:type="dxa" w:w="100"/>
              <w:left w:type="dxa" w:w="120"/>
              <w:bottom w:type="dxa" w:w="100"/>
              <w:right w:type="dxa" w:w="120"/>
            </w:tcMar>
            <w:vAlign w:val="center"/>
          </w:tcPr>
          <w:p>
            <w:pPr>
              <w:jc w:val="left"/>
            </w:pPr>
            <w:r>
              <w:rPr>
                <w:b/>
                <w:bCs/>
                <w:color w:val="FFFFFF"/>
                <w:sz w:val="20"/>
                <w:szCs w:val="20"/>
              </w:rPr>
              <w:t xml:space="preserve">What it does well</w:t>
            </w:r>
          </w:p>
        </w:tc>
        <w:tc>
          <w:tcPr>
            <w:tcW w:type="dxa" w:w="2500"/>
            <w:shd w:fill="3D1152" w:val="clear"/>
            <w:tcMar>
              <w:top w:type="dxa" w:w="100"/>
              <w:left w:type="dxa" w:w="120"/>
              <w:bottom w:type="dxa" w:w="100"/>
              <w:right w:type="dxa" w:w="120"/>
            </w:tcMar>
            <w:vAlign w:val="center"/>
          </w:tcPr>
          <w:p>
            <w:pPr>
              <w:jc w:val="left"/>
            </w:pPr>
            <w:r>
              <w:rPr>
                <w:b/>
                <w:bCs/>
                <w:color w:val="FFFFFF"/>
                <w:sz w:val="20"/>
                <w:szCs w:val="20"/>
              </w:rPr>
              <w:t xml:space="preserve">Where eKonnect differs</w:t>
            </w:r>
          </w:p>
        </w:tc>
      </w:tr>
      <w:tr>
        <w:tc>
          <w:tcPr>
            <w:tcW w:type="dxa" w:w="2000"/>
            <w:tcMar>
              <w:top w:type="dxa" w:w="100"/>
              <w:left w:type="dxa" w:w="120"/>
              <w:bottom w:type="dxa" w:w="100"/>
              <w:right w:type="dxa" w:w="120"/>
            </w:tcMar>
            <w:vAlign w:val="center"/>
          </w:tcPr>
          <w:p>
            <w:pPr>
              <w:jc w:val="left"/>
            </w:pPr>
            <w:r>
              <w:rPr>
                <w:b w:val="false"/>
                <w:bCs w:val="false"/>
                <w:color w:val="1B1524"/>
                <w:sz w:val="20"/>
                <w:szCs w:val="20"/>
              </w:rPr>
              <w:t xml:space="preserve">Flare / Rescue.co</w:t>
            </w:r>
          </w:p>
        </w:tc>
        <w:tc>
          <w:tcPr>
            <w:tcW w:type="dxa" w:w="2400"/>
            <w:tcMar>
              <w:top w:type="dxa" w:w="100"/>
              <w:left w:type="dxa" w:w="120"/>
              <w:bottom w:type="dxa" w:w="100"/>
              <w:right w:type="dxa" w:w="120"/>
            </w:tcMar>
            <w:vAlign w:val="center"/>
          </w:tcPr>
          <w:p>
            <w:pPr>
              <w:jc w:val="left"/>
            </w:pPr>
            <w:r>
              <w:rPr>
                <w:b w:val="false"/>
                <w:bCs w:val="false"/>
                <w:color w:val="1B1524"/>
                <w:sz w:val="20"/>
                <w:szCs w:val="20"/>
              </w:rPr>
              <w:t xml:space="preserve">Private subscription — "Uber for ambulances"; aggregates private ambulance fleets under one dispatch system</w:t>
            </w:r>
          </w:p>
        </w:tc>
        <w:tc>
          <w:tcPr>
            <w:tcW w:type="dxa" w:w="2800"/>
            <w:tcMar>
              <w:top w:type="dxa" w:w="100"/>
              <w:left w:type="dxa" w:w="120"/>
              <w:bottom w:type="dxa" w:w="100"/>
              <w:right w:type="dxa" w:w="120"/>
            </w:tcMar>
            <w:vAlign w:val="center"/>
          </w:tcPr>
          <w:p>
            <w:pPr>
              <w:jc w:val="left"/>
            </w:pPr>
            <w:r>
              <w:rPr>
                <w:b w:val="false"/>
                <w:bCs w:val="false"/>
                <w:color w:val="1B1524"/>
                <w:sz w:val="20"/>
                <w:szCs w:val="20"/>
              </w:rPr>
              <w:t xml:space="preserve">Cut average response times from over 160 minutes to 13 minutes in urban areas through coordinated dispatch; established since 2018 with international backing</w:t>
            </w:r>
          </w:p>
        </w:tc>
        <w:tc>
          <w:tcPr>
            <w:tcW w:type="dxa" w:w="2500"/>
            <w:tcMar>
              <w:top w:type="dxa" w:w="100"/>
              <w:left w:type="dxa" w:w="120"/>
              <w:bottom w:type="dxa" w:w="100"/>
              <w:right w:type="dxa" w:w="120"/>
            </w:tcMar>
            <w:vAlign w:val="center"/>
          </w:tcPr>
          <w:p>
            <w:pPr>
              <w:jc w:val="left"/>
            </w:pPr>
            <w:r>
              <w:rPr>
                <w:b w:val="false"/>
                <w:bCs w:val="false"/>
                <w:color w:val="1B1524"/>
                <w:sz w:val="20"/>
                <w:szCs w:val="20"/>
              </w:rPr>
              <w:t xml:space="preserve">Rescue.co is a paid membership product for subscribers; eKonnect runs a free public SOS network for any citizen alongside a private subscription tier, and covers fire, flood and security incidents, not ambulances alone</w:t>
            </w:r>
          </w:p>
        </w:tc>
      </w:tr>
      <w:tr>
        <w:tc>
          <w:tcPr>
            <w:tcW w:type="dxa" w:w="20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Red Cross Kenya app</w:t>
            </w:r>
          </w:p>
        </w:tc>
        <w:tc>
          <w:tcPr>
            <w:tcW w:type="dxa" w:w="24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NGO-run emergency reporting app</w:t>
            </w:r>
          </w:p>
        </w:tc>
        <w:tc>
          <w:tcPr>
            <w:tcW w:type="dxa" w:w="2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Trusted national brand, existing volunteer network</w:t>
            </w:r>
          </w:p>
        </w:tc>
        <w:tc>
          <w:tcPr>
            <w:tcW w:type="dxa" w:w="25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No live responder marketplace or verified multi-organisation dispatch; eKonnect is built as neutral infrastructure any county, hospital or NGO can plug their own fleet into</w:t>
            </w:r>
          </w:p>
        </w:tc>
      </w:tr>
      <w:tr>
        <w:tc>
          <w:tcPr>
            <w:tcW w:type="dxa" w:w="2000"/>
            <w:tcMar>
              <w:top w:type="dxa" w:w="100"/>
              <w:left w:type="dxa" w:w="120"/>
              <w:bottom w:type="dxa" w:w="100"/>
              <w:right w:type="dxa" w:w="120"/>
            </w:tcMar>
            <w:vAlign w:val="center"/>
          </w:tcPr>
          <w:p>
            <w:pPr>
              <w:jc w:val="left"/>
            </w:pPr>
            <w:r>
              <w:rPr>
                <w:b w:val="false"/>
                <w:bCs w:val="false"/>
                <w:color w:val="1B1524"/>
                <w:sz w:val="20"/>
                <w:szCs w:val="20"/>
              </w:rPr>
              <w:t xml:space="preserve">County / national 999 and hotlines</w:t>
            </w:r>
          </w:p>
        </w:tc>
        <w:tc>
          <w:tcPr>
            <w:tcW w:type="dxa" w:w="2400"/>
            <w:tcMar>
              <w:top w:type="dxa" w:w="100"/>
              <w:left w:type="dxa" w:w="120"/>
              <w:bottom w:type="dxa" w:w="100"/>
              <w:right w:type="dxa" w:w="120"/>
            </w:tcMar>
            <w:vAlign w:val="center"/>
          </w:tcPr>
          <w:p>
            <w:pPr>
              <w:jc w:val="left"/>
            </w:pPr>
            <w:r>
              <w:rPr>
                <w:b w:val="false"/>
                <w:bCs w:val="false"/>
                <w:color w:val="1B1524"/>
                <w:sz w:val="20"/>
                <w:szCs w:val="20"/>
              </w:rPr>
              <w:t xml:space="preserve">Manual phone dispatch</w:t>
            </w:r>
          </w:p>
        </w:tc>
        <w:tc>
          <w:tcPr>
            <w:tcW w:type="dxa" w:w="2800"/>
            <w:tcMar>
              <w:top w:type="dxa" w:w="100"/>
              <w:left w:type="dxa" w:w="120"/>
              <w:bottom w:type="dxa" w:w="100"/>
              <w:right w:type="dxa" w:w="120"/>
            </w:tcMar>
            <w:vAlign w:val="center"/>
          </w:tcPr>
          <w:p>
            <w:pPr>
              <w:jc w:val="left"/>
            </w:pPr>
            <w:r>
              <w:rPr>
                <w:b w:val="false"/>
                <w:bCs w:val="false"/>
                <w:color w:val="1B1524"/>
                <w:sz w:val="20"/>
                <w:szCs w:val="20"/>
              </w:rPr>
              <w:t xml:space="preserve">Universal, no app required, remains eKonnect's own built-in fallback</w:t>
            </w:r>
          </w:p>
        </w:tc>
        <w:tc>
          <w:tcPr>
            <w:tcW w:type="dxa" w:w="2500"/>
            <w:tcMar>
              <w:top w:type="dxa" w:w="100"/>
              <w:left w:type="dxa" w:w="120"/>
              <w:bottom w:type="dxa" w:w="100"/>
              <w:right w:type="dxa" w:w="120"/>
            </w:tcMar>
            <w:vAlign w:val="center"/>
          </w:tcPr>
          <w:p>
            <w:pPr>
              <w:jc w:val="left"/>
            </w:pPr>
            <w:r>
              <w:rPr>
                <w:b w:val="false"/>
                <w:bCs w:val="false"/>
                <w:color w:val="1B1524"/>
                <w:sz w:val="20"/>
                <w:szCs w:val="20"/>
              </w:rPr>
              <w:t xml:space="preserve">No live location sharing, no responder tracking, no accountability data; eKonnect keeps 999 as a permanent one-tap fallback rather than competing with it</w:t>
            </w:r>
          </w:p>
        </w:tc>
      </w:tr>
      <w:tr>
        <w:tc>
          <w:tcPr>
            <w:tcW w:type="dxa" w:w="20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International comparables (Amber Health, India; MUrgency, UAE/Asia/US)</w:t>
            </w:r>
          </w:p>
        </w:tc>
        <w:tc>
          <w:tcPr>
            <w:tcW w:type="dxa" w:w="24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On-demand emergency-services apps</w:t>
            </w:r>
          </w:p>
        </w:tc>
        <w:tc>
          <w:tcPr>
            <w:tcW w:type="dxa" w:w="2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Demonstrate the model generalises across emerging markets</w:t>
            </w:r>
          </w:p>
        </w:tc>
        <w:tc>
          <w:tcPr>
            <w:tcW w:type="dxa" w:w="25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Not localised to Kenyan regulatory, payment (M-Pesa) or road/address realities that eKonnect is purpose-built around</w:t>
            </w:r>
          </w:p>
        </w:tc>
      </w:tr>
    </w:tbl>
    <w:p>
      <w:pPr>
        <w:pStyle w:val="Heading2"/>
        <w:spacing w:after="140" w:before="260"/>
      </w:pPr>
      <w:r>
        <w:rPr>
          <w:color w:val="3D1152"/>
        </w:rPr>
        <w:t xml:space="preserve">4.3 eKonnect's differentiation</w:t>
      </w:r>
    </w:p>
    <w:p>
      <w:pPr>
        <w:pStyle w:val="ListParagraph"/>
        <w:numPr>
          <w:ilvl w:val="0"/>
          <w:numId w:val="2"/>
        </w:numPr>
        <w:spacing w:after="90"/>
      </w:pPr>
      <w:r>
        <w:rPr>
          <w:color w:val="1B1524"/>
          <w:sz w:val="22"/>
          <w:szCs w:val="22"/>
        </w:rPr>
        <w:t xml:space="preserve">One platform, four roles: citizen, ambulance driver, medical practitioner and administrator all share one real-time system, instead of separate apps that need manual reconciliation.</w:t>
      </w:r>
    </w:p>
    <w:p>
      <w:pPr>
        <w:pStyle w:val="ListParagraph"/>
        <w:numPr>
          <w:ilvl w:val="0"/>
          <w:numId w:val="2"/>
        </w:numPr>
        <w:spacing w:after="90"/>
      </w:pPr>
      <w:r>
        <w:rPr>
          <w:color w:val="1B1524"/>
          <w:sz w:val="22"/>
          <w:szCs w:val="22"/>
        </w:rPr>
        <w:t xml:space="preserve">Public and private networks on the same rails: a government or NGO can run a free public safety net for citizens, while hospitals, schools, companies and insurers subscribe their own vetted fleets — without either group's data or dispatch logic leaking into the other.</w:t>
      </w:r>
    </w:p>
    <w:p>
      <w:pPr>
        <w:pStyle w:val="ListParagraph"/>
        <w:numPr>
          <w:ilvl w:val="0"/>
          <w:numId w:val="2"/>
        </w:numPr>
        <w:spacing w:after="90"/>
      </w:pPr>
      <w:r>
        <w:rPr>
          <w:color w:val="1B1524"/>
          <w:sz w:val="22"/>
          <w:szCs w:val="22"/>
        </w:rPr>
        <w:t xml:space="preserve">Beyond ambulances: fire, flood and security incidents are first-class categories, not an afterthought, positioning eKonnect as general emergency-response infrastructure rather than a single-vertical ambulance app.</w:t>
      </w:r>
    </w:p>
    <w:p>
      <w:pPr>
        <w:pStyle w:val="ListParagraph"/>
        <w:numPr>
          <w:ilvl w:val="0"/>
          <w:numId w:val="2"/>
        </w:numPr>
        <w:spacing w:after="90"/>
      </w:pPr>
      <w:r>
        <w:rPr>
          <w:color w:val="1B1524"/>
          <w:sz w:val="22"/>
          <w:szCs w:val="22"/>
        </w:rPr>
        <w:t xml:space="preserve">AI-assisted voice reporting lowers the barrier for callers who are injured, panicked, or simply do not know the right category — a segment existing hotline and app models largely ignore.</w:t>
      </w:r>
    </w:p>
    <w:p>
      <w:pPr>
        <w:pStyle w:val="ListParagraph"/>
        <w:numPr>
          <w:ilvl w:val="0"/>
          <w:numId w:val="2"/>
        </w:numPr>
        <w:spacing w:after="90"/>
      </w:pPr>
      <w:r>
        <w:rPr>
          <w:color w:val="1B1524"/>
          <w:sz w:val="22"/>
          <w:szCs w:val="22"/>
        </w:rPr>
        <w:t xml:space="preserve">A governed verification pipeline (pending → verified → suspended) gives government and enterprise partners the accountability they need before they will put their name behind a public-facing responder network.</w:t>
      </w:r>
    </w:p>
    <w:p>
      <w:r>
        <w:br w:type="page"/>
      </w:r>
    </w:p>
    <w:p>
      <w:pPr>
        <w:pStyle w:val="Heading1"/>
        <w:spacing w:after="200" w:before="320"/>
      </w:pPr>
      <w:r>
        <w:rPr>
          <w:color w:val="1E0830"/>
        </w:rPr>
        <w:t xml:space="preserve">5. Business Model &amp; Revenue Streams</w:t>
      </w:r>
    </w:p>
    <w:p>
      <w:pPr>
        <w:spacing w:after="160" w:line="276"/>
      </w:pPr>
      <w:r>
        <w:rPr>
          <w:color w:val="1B1524"/>
          <w:sz w:val="22"/>
          <w:szCs w:val="22"/>
        </w:rPr>
        <w:t xml:space="preserve">eKonnect runs a deliberately two-sided model: a public good that must remain free at the point of use, funded like public infrastructure, and a commercial layer on top of the same platform that pays for it.</w:t>
      </w:r>
    </w:p>
    <w:p>
      <w:pPr>
        <w:pStyle w:val="Heading2"/>
        <w:spacing w:after="140" w:before="260"/>
      </w:pPr>
      <w:r>
        <w:rPr>
          <w:color w:val="3D1152"/>
        </w:rPr>
        <w:t xml:space="preserve">5.1 Public network — grant and government funded</w:t>
      </w:r>
    </w:p>
    <w:p>
      <w:pPr>
        <w:spacing w:after="160" w:line="276"/>
      </w:pPr>
      <w:r>
        <w:rPr>
          <w:color w:val="1B1524"/>
          <w:sz w:val="22"/>
          <w:szCs w:val="22"/>
        </w:rPr>
        <w:t xml:space="preserve">Any citizen can press SOS and reach the public responder network at no cost, ever. This side of the platform is funded the way a public ambulance service is funded: county government health budgets, national government partnership (building on the same national emergency-response modernisation programme now registering and inspecting ambulances), and NGO or development-partner grants tied to measurable public-health and road-safety outcomes.</w:t>
      </w:r>
    </w:p>
    <w:p>
      <w:pPr>
        <w:pStyle w:val="Heading2"/>
        <w:spacing w:after="140" w:before="260"/>
      </w:pPr>
      <w:r>
        <w:rPr>
          <w:color w:val="3D1152"/>
        </w:rPr>
        <w:t xml:space="preserve">5.2 Private responder subscriptions — the commercial engine</w:t>
      </w:r>
    </w:p>
    <w:p>
      <w:pPr>
        <w:spacing w:after="160" w:line="276"/>
      </w:pPr>
      <w:r>
        <w:rPr>
          <w:color w:val="1B1524"/>
          <w:sz w:val="22"/>
          <w:szCs w:val="22"/>
        </w:rPr>
        <w:t xml:space="preserve">Hospitals, corporates, schools, gated estates and insurers can register their own ambulance or medical-practitioner fleet as a private team on eKonnect. A private team answers only its own organisation's registered subscribers, or incidents an administrator assigns directly — never the open public network — which is exactly what a private buyer needs: guaranteed service for their own people, on infrastructure they do not have to build themselves.</w:t>
      </w:r>
    </w:p>
    <w:p>
      <w:pPr>
        <w:pStyle w:val="ListParagraph"/>
        <w:numPr>
          <w:ilvl w:val="0"/>
          <w:numId w:val="2"/>
        </w:numPr>
        <w:spacing w:after="90"/>
      </w:pPr>
      <w:r>
        <w:rPr>
          <w:color w:val="1B1524"/>
          <w:sz w:val="22"/>
          <w:szCs w:val="22"/>
        </w:rPr>
        <w:t xml:space="preserve">Per-seat / per-vehicle subscription: a monthly or annual fee per responder or vehicle onboarded to a private team's dispatch console</w:t>
      </w:r>
    </w:p>
    <w:p>
      <w:pPr>
        <w:pStyle w:val="ListParagraph"/>
        <w:numPr>
          <w:ilvl w:val="0"/>
          <w:numId w:val="2"/>
        </w:numPr>
        <w:spacing w:after="90"/>
      </w:pPr>
      <w:r>
        <w:rPr>
          <w:color w:val="1B1524"/>
          <w:sz w:val="22"/>
          <w:szCs w:val="22"/>
        </w:rPr>
        <w:t xml:space="preserve">Per-subscriber tiering: hospitals and insurers pay based on the number of registered clients or patients covered under their private emergency-response plan</w:t>
      </w:r>
    </w:p>
    <w:p>
      <w:pPr>
        <w:pStyle w:val="ListParagraph"/>
        <w:numPr>
          <w:ilvl w:val="0"/>
          <w:numId w:val="2"/>
        </w:numPr>
        <w:spacing w:after="90"/>
      </w:pPr>
      <w:r>
        <w:rPr>
          <w:color w:val="1B1524"/>
          <w:sz w:val="22"/>
          <w:szCs w:val="22"/>
        </w:rPr>
        <w:t xml:space="preserve">Enterprise and institutional contracts: corporates, universities and large estates pay an annual contract for a dedicated on-site or on-call responder team integrated into eKonnect's dispatch and tracking</w:t>
      </w:r>
    </w:p>
    <w:p>
      <w:pPr>
        <w:pStyle w:val="Heading2"/>
        <w:spacing w:after="140" w:before="260"/>
      </w:pPr>
      <w:r>
        <w:rPr>
          <w:color w:val="3D1152"/>
        </w:rPr>
        <w:t xml:space="preserve">5.3 Future revenue lines (Year 2+)</w:t>
      </w:r>
    </w:p>
    <w:p>
      <w:pPr>
        <w:pStyle w:val="ListParagraph"/>
        <w:numPr>
          <w:ilvl w:val="0"/>
          <w:numId w:val="2"/>
        </w:numPr>
        <w:spacing w:after="90"/>
      </w:pPr>
      <w:r>
        <w:rPr>
          <w:color w:val="1B1524"/>
          <w:sz w:val="22"/>
          <w:szCs w:val="22"/>
        </w:rPr>
        <w:t xml:space="preserve">Payment processing float and small transaction fees once M-Pesa (Daraja API) billing for private subscriptions goes live</w:t>
      </w:r>
    </w:p>
    <w:p>
      <w:pPr>
        <w:pStyle w:val="ListParagraph"/>
        <w:numPr>
          <w:ilvl w:val="0"/>
          <w:numId w:val="2"/>
        </w:numPr>
        <w:spacing w:after="90"/>
      </w:pPr>
      <w:r>
        <w:rPr>
          <w:color w:val="1B1524"/>
          <w:sz w:val="22"/>
          <w:szCs w:val="22"/>
        </w:rPr>
        <w:t xml:space="preserve">Hospital and insurer integration fees for direct billing and patient-record handoff at point of care</w:t>
      </w:r>
    </w:p>
    <w:p>
      <w:pPr>
        <w:pStyle w:val="ListParagraph"/>
        <w:numPr>
          <w:ilvl w:val="0"/>
          <w:numId w:val="2"/>
        </w:numPr>
        <w:spacing w:after="90"/>
      </w:pPr>
      <w:r>
        <w:rPr>
          <w:color w:val="1B1524"/>
          <w:sz w:val="22"/>
          <w:szCs w:val="22"/>
        </w:rPr>
        <w:t xml:space="preserve">Anonymised, aggregated incident and response-time analytics licensed to county governments and public-health researchers for planning purposes</w:t>
      </w:r>
    </w:p>
    <w:p>
      <w:pPr>
        <w:pStyle w:val="Heading2"/>
        <w:spacing w:after="140" w:before="260"/>
      </w:pPr>
      <w:r>
        <w:rPr>
          <w:color w:val="3D1152"/>
        </w:rPr>
        <w:t xml:space="preserve">5.4 Why this model is defensible</w:t>
      </w:r>
    </w:p>
    <w:p>
      <w:pPr>
        <w:spacing w:after="160" w:line="276"/>
      </w:pPr>
      <w:r>
        <w:rPr>
          <w:color w:val="1B1524"/>
          <w:sz w:val="22"/>
          <w:szCs w:val="22"/>
        </w:rPr>
        <w:t xml:space="preserve">The public network is what makes eKonnect valuable to government and NGO partners: it is a measurable public good they can fund and report against. The private subscription layer is what makes eKonnect financially sustainable without depending entirely on grant cycles. Each side strengthens the other — a larger public network of verified responders makes the platform more attractive to private buyers who benefit from its infrastructure and credibility, while private subscription revenue funds the infrastructure the public network runs on.</w:t>
      </w:r>
    </w:p>
    <w:p>
      <w:r>
        <w:br w:type="page"/>
      </w:r>
    </w:p>
    <w:p>
      <w:pPr>
        <w:pStyle w:val="Heading1"/>
        <w:spacing w:after="200" w:before="320"/>
      </w:pPr>
      <w:r>
        <w:rPr>
          <w:color w:val="1E0830"/>
        </w:rPr>
        <w:t xml:space="preserve">6. Go-to-Market Strategy</w:t>
      </w:r>
    </w:p>
    <w:p>
      <w:pPr>
        <w:pStyle w:val="Heading2"/>
        <w:spacing w:after="140" w:before="260"/>
      </w:pPr>
      <w:r>
        <w:rPr>
          <w:color w:val="3D1152"/>
        </w:rPr>
        <w:t xml:space="preserve">6.1 Land: one county, done properly</w:t>
      </w:r>
    </w:p>
    <w:p>
      <w:pPr>
        <w:spacing w:after="160" w:line="276"/>
      </w:pPr>
      <w:r>
        <w:rPr>
          <w:color w:val="1B1524"/>
          <w:sz w:val="22"/>
          <w:szCs w:val="22"/>
        </w:rPr>
        <w:t xml:space="preserve">Rather than a broad, thin national launch, eKonnect's first move is a single-county pilot with one public ambulance partner and one private hospital fleet already onboard before public launch — enough real supply that the first citizens who press SOS get a genuine response, not a demo. Early field renders of the app already show this pilot geography centred on Homa Bay County, a practical starting point given existing county-health relationships.</w:t>
      </w:r>
    </w:p>
    <w:p>
      <w:pPr>
        <w:pStyle w:val="Heading2"/>
        <w:spacing w:after="140" w:before="260"/>
      </w:pPr>
      <w:r>
        <w:rPr>
          <w:color w:val="3D1152"/>
        </w:rPr>
        <w:t xml:space="preserve">6.2 Expand: prove the coordination gain, then replicate</w:t>
      </w:r>
    </w:p>
    <w:p>
      <w:pPr>
        <w:spacing w:after="160" w:line="276"/>
      </w:pPr>
      <w:r>
        <w:rPr>
          <w:color w:val="1B1524"/>
          <w:sz w:val="22"/>
          <w:szCs w:val="22"/>
        </w:rPr>
        <w:t xml:space="preserve">Every additional county follows the same playbook: sign the county health department and at least one anchor private or NGO ambulance provider before opening the public SOS button, verify an initial cohort of responders, and only then market the citizen app locally. This keeps the platform's core promise — a responder actually shows up — true in every market it enters.</w:t>
      </w:r>
    </w:p>
    <w:p>
      <w:pPr>
        <w:pStyle w:val="Heading2"/>
        <w:spacing w:after="140" w:before="260"/>
      </w:pPr>
      <w:r>
        <w:rPr>
          <w:color w:val="3D1152"/>
        </w:rPr>
        <w:t xml:space="preserve">6.3 Monetise: private fleets follow public credibility</w:t>
      </w:r>
    </w:p>
    <w:p>
      <w:pPr>
        <w:spacing w:after="160" w:line="276"/>
      </w:pPr>
      <w:r>
        <w:rPr>
          <w:color w:val="1B1524"/>
          <w:sz w:val="22"/>
          <w:szCs w:val="22"/>
        </w:rPr>
        <w:t xml:space="preserve">Once a county's public network is visibly functioning, private hospitals, corporates and schools in that same county are the natural next sales conversation: they can see the platform working before they are asked to pay for it. Enterprise sales targets hospital operations managers, corporate HR/security leads, and school administrators directly, with case-study data from the public pilot as the core sales asset.</w:t>
      </w:r>
    </w:p>
    <w:p>
      <w:pPr>
        <w:pStyle w:val="Heading2"/>
        <w:spacing w:after="140" w:before="260"/>
      </w:pPr>
      <w:r>
        <w:rPr>
          <w:color w:val="3D1152"/>
        </w:rPr>
        <w:t xml:space="preserve">6.4 Partnerships</w:t>
      </w:r>
    </w:p>
    <w:p>
      <w:pPr>
        <w:pStyle w:val="ListParagraph"/>
        <w:numPr>
          <w:ilvl w:val="0"/>
          <w:numId w:val="2"/>
        </w:numPr>
        <w:spacing w:after="90"/>
      </w:pPr>
      <w:r>
        <w:rPr>
          <w:color w:val="1B1524"/>
          <w:sz w:val="22"/>
          <w:szCs w:val="22"/>
        </w:rPr>
        <w:t xml:space="preserve">County governments and the Ministry of Health, aligning with the national emergency-response modernisation programme already underway</w:t>
      </w:r>
    </w:p>
    <w:p>
      <w:pPr>
        <w:pStyle w:val="ListParagraph"/>
        <w:numPr>
          <w:ilvl w:val="0"/>
          <w:numId w:val="2"/>
        </w:numPr>
        <w:spacing w:after="90"/>
      </w:pPr>
      <w:r>
        <w:rPr>
          <w:color w:val="1B1524"/>
          <w:sz w:val="22"/>
          <w:szCs w:val="22"/>
        </w:rPr>
        <w:t xml:space="preserve">NGOs and development partners funding road-safety and maternal-health outcomes measurable through eKonnect's incident data</w:t>
      </w:r>
    </w:p>
    <w:p>
      <w:pPr>
        <w:pStyle w:val="ListParagraph"/>
        <w:numPr>
          <w:ilvl w:val="0"/>
          <w:numId w:val="2"/>
        </w:numPr>
        <w:spacing w:after="90"/>
      </w:pPr>
      <w:r>
        <w:rPr>
          <w:color w:val="1B1524"/>
          <w:sz w:val="22"/>
          <w:szCs w:val="22"/>
        </w:rPr>
        <w:t xml:space="preserve">Private hospital groups and insurers as anchor private-network subscribers and, later, integration partners</w:t>
      </w:r>
    </w:p>
    <w:p>
      <w:pPr>
        <w:pStyle w:val="ListParagraph"/>
        <w:numPr>
          <w:ilvl w:val="0"/>
          <w:numId w:val="2"/>
        </w:numPr>
        <w:spacing w:after="90"/>
      </w:pPr>
      <w:r>
        <w:rPr>
          <w:color w:val="1B1524"/>
          <w:sz w:val="22"/>
          <w:szCs w:val="22"/>
        </w:rPr>
        <w:t xml:space="preserve">Telecoms and Safaricom/M-Pesa for USSD fallback reporting and subscription billing, extending reach to feature-phone users</w:t>
      </w:r>
    </w:p>
    <w:p>
      <w:r>
        <w:br w:type="page"/>
      </w:r>
    </w:p>
    <w:p>
      <w:pPr>
        <w:pStyle w:val="Heading1"/>
        <w:spacing w:after="200" w:before="320"/>
      </w:pPr>
      <w:r>
        <w:rPr>
          <w:color w:val="1E0830"/>
        </w:rPr>
        <w:t xml:space="preserve">7. Operations &amp; Governance</w:t>
      </w:r>
    </w:p>
    <w:p>
      <w:pPr>
        <w:pStyle w:val="Heading2"/>
        <w:spacing w:after="140" w:before="260"/>
      </w:pPr>
      <w:r>
        <w:rPr>
          <w:color w:val="3D1152"/>
        </w:rPr>
        <w:t xml:space="preserve">7.1 Responder verification pipeline</w:t>
      </w:r>
    </w:p>
    <w:p>
      <w:pPr>
        <w:spacing w:after="160" w:line="276"/>
      </w:pPr>
      <w:r>
        <w:rPr>
          <w:color w:val="1B1524"/>
          <w:sz w:val="22"/>
          <w:szCs w:val="22"/>
        </w:rPr>
        <w:t xml:space="preserve">No one puts themselves on the public emergency network unverified. An admin issues an invitation; the claimant submits identity, licence and vehicle details; the admin moves them through pending, verified, rejected or suspended states, with a note recorded against any rejection or suspension. Only a verified responder can go on duty. This same pipeline governs private-team responders, giving an enterprise buyer the same assurance over their own contracted fleet.</w:t>
      </w:r>
    </w:p>
    <w:p>
      <w:pPr>
        <w:pStyle w:val="Heading2"/>
        <w:spacing w:after="140" w:before="260"/>
      </w:pPr>
      <w:r>
        <w:rPr>
          <w:color w:val="3D1152"/>
        </w:rPr>
        <w:t xml:space="preserve">7.2 Assignment modes</w:t>
      </w:r>
    </w:p>
    <w:p>
      <w:pPr>
        <w:spacing w:after="160" w:line="276"/>
      </w:pPr>
      <w:r>
        <w:rPr>
          <w:color w:val="1B1524"/>
          <w:sz w:val="22"/>
          <w:szCs w:val="22"/>
        </w:rPr>
        <w:t xml:space="preserve">Administrators choose, per team, between first-accept dispatch (the fastest responder to tap Accept gets the job — best where responder density is high) and auto-nearest dispatch (the system assigns the closest available unit automatically — best where responders are sparse and speed of decision matters more than responder choice).</w:t>
      </w:r>
    </w:p>
    <w:p>
      <w:pPr>
        <w:pStyle w:val="Heading2"/>
        <w:spacing w:after="140" w:before="260"/>
      </w:pPr>
      <w:r>
        <w:rPr>
          <w:color w:val="3D1152"/>
        </w:rPr>
        <w:t xml:space="preserve">7.3 Incident lifecycle &amp; accountability</w:t>
      </w:r>
    </w:p>
    <w:p>
      <w:pPr>
        <w:spacing w:after="160" w:line="276"/>
      </w:pPr>
      <w:r>
        <w:rPr>
          <w:color w:val="1B1524"/>
          <w:sz w:val="22"/>
          <w:szCs w:val="22"/>
        </w:rPr>
        <w:t xml:space="preserve">Every incident carries a full timeline from creation to resolution or cancellation, including who cancelled it and why, using a structured set of reasons (accidental press, resolved independently, found other help, wrong category, no responder available, responder became unavailable). This turns cancellations from noise into a data source county administrators can use to see where coverage gaps actually are.</w:t>
      </w:r>
    </w:p>
    <w:p>
      <w:pPr>
        <w:pStyle w:val="Heading2"/>
        <w:spacing w:after="140" w:before="260"/>
      </w:pPr>
      <w:r>
        <w:rPr>
          <w:color w:val="3D1152"/>
        </w:rPr>
        <w:t xml:space="preserve">7.4 Data protection</w:t>
      </w:r>
    </w:p>
    <w:p>
      <w:pPr>
        <w:spacing w:after="160" w:line="276"/>
      </w:pPr>
      <w:r>
        <w:rPr>
          <w:color w:val="1B1524"/>
          <w:sz w:val="22"/>
          <w:szCs w:val="22"/>
        </w:rPr>
        <w:t xml:space="preserve">Location, health-adjacent and identity data are collected only for active incident response and responder verification, consistent with Kenya's Data Protection Act, 2019. Compliance and licensing work is an explicit line item in the funding ask below, reflecting that this is treated as a first-class requirement for a government-facing platform, not an afterthought.</w:t>
      </w:r>
    </w:p>
    <w:p>
      <w:r>
        <w:br w:type="page"/>
      </w:r>
    </w:p>
    <w:p>
      <w:pPr>
        <w:pStyle w:val="Heading1"/>
        <w:spacing w:after="200" w:before="320"/>
      </w:pPr>
      <w:r>
        <w:rPr>
          <w:color w:val="1E0830"/>
        </w:rPr>
        <w:t xml:space="preserve">8. Five-Year Execution Plan</w:t>
      </w:r>
    </w:p>
    <w:p>
      <w:pPr>
        <w:spacing w:after="160" w:line="276"/>
      </w:pPr>
      <w:r>
        <w:rPr>
          <w:color w:val="1B1524"/>
          <w:sz w:val="22"/>
          <w:szCs w:val="22"/>
        </w:rPr>
        <w:t xml:space="preserve">This roadmap mirrors the plan presented to investors and partners, and starts from where the product already is today: working patient, responder and admin applications ready for a first county pilot.</w:t>
      </w:r>
    </w:p>
    <w:p>
      <w:pPr>
        <w:pStyle w:val="Heading2"/>
        <w:spacing w:after="140" w:before="260"/>
      </w:pPr>
      <w:r>
        <w:rPr>
          <w:color w:val="3D1152"/>
        </w:rPr>
        <w:t xml:space="preserve">Year 1 — Foundation</w:t>
      </w:r>
    </w:p>
    <w:p>
      <w:pPr>
        <w:pStyle w:val="ListParagraph"/>
        <w:numPr>
          <w:ilvl w:val="0"/>
          <w:numId w:val="2"/>
        </w:numPr>
        <w:spacing w:after="90"/>
      </w:pPr>
      <w:r>
        <w:rPr>
          <w:color w:val="1B1524"/>
          <w:sz w:val="22"/>
          <w:szCs w:val="22"/>
        </w:rPr>
        <w:t xml:space="preserve">Launch the MVP — patient, responder and admin apps — into a live pilot</w:t>
      </w:r>
    </w:p>
    <w:p>
      <w:pPr>
        <w:pStyle w:val="ListParagraph"/>
        <w:numPr>
          <w:ilvl w:val="0"/>
          <w:numId w:val="2"/>
        </w:numPr>
        <w:spacing w:after="90"/>
      </w:pPr>
      <w:r>
        <w:rPr>
          <w:color w:val="1B1524"/>
          <w:sz w:val="22"/>
          <w:szCs w:val="22"/>
        </w:rPr>
        <w:t xml:space="preserve">Pilot in one county with a public ambulance partner and one private hospital fleet</w:t>
      </w:r>
    </w:p>
    <w:p>
      <w:pPr>
        <w:pStyle w:val="ListParagraph"/>
        <w:numPr>
          <w:ilvl w:val="0"/>
          <w:numId w:val="2"/>
        </w:numPr>
        <w:spacing w:after="90"/>
      </w:pPr>
      <w:r>
        <w:rPr>
          <w:color w:val="1B1524"/>
          <w:sz w:val="22"/>
          <w:szCs w:val="22"/>
        </w:rPr>
        <w:t xml:space="preserve">Verify and onboard the first 50 responders</w:t>
      </w:r>
    </w:p>
    <w:p>
      <w:pPr>
        <w:pStyle w:val="ListParagraph"/>
        <w:numPr>
          <w:ilvl w:val="0"/>
          <w:numId w:val="2"/>
        </w:numPr>
        <w:spacing w:after="90"/>
      </w:pPr>
      <w:r>
        <w:rPr>
          <w:color w:val="1B1524"/>
          <w:sz w:val="22"/>
          <w:szCs w:val="22"/>
        </w:rPr>
        <w:t xml:space="preserve">Close the KSH 5.7M seed round described in Section 10</w:t>
      </w:r>
    </w:p>
    <w:p>
      <w:pPr>
        <w:pStyle w:val="Heading2"/>
        <w:spacing w:after="140" w:before="260"/>
      </w:pPr>
      <w:r>
        <w:rPr>
          <w:color w:val="3D1152"/>
        </w:rPr>
        <w:t xml:space="preserve">Year 2 — Validate</w:t>
      </w:r>
    </w:p>
    <w:p>
      <w:pPr>
        <w:pStyle w:val="ListParagraph"/>
        <w:numPr>
          <w:ilvl w:val="0"/>
          <w:numId w:val="2"/>
        </w:numPr>
        <w:spacing w:after="90"/>
      </w:pPr>
      <w:r>
        <w:rPr>
          <w:color w:val="1B1524"/>
          <w:sz w:val="22"/>
          <w:szCs w:val="22"/>
        </w:rPr>
        <w:t xml:space="preserve">Expand to 3–5 counties</w:t>
      </w:r>
    </w:p>
    <w:p>
      <w:pPr>
        <w:pStyle w:val="ListParagraph"/>
        <w:numPr>
          <w:ilvl w:val="0"/>
          <w:numId w:val="2"/>
        </w:numPr>
        <w:spacing w:after="90"/>
      </w:pPr>
      <w:r>
        <w:rPr>
          <w:color w:val="1B1524"/>
          <w:sz w:val="22"/>
          <w:szCs w:val="22"/>
        </w:rPr>
        <w:t xml:space="preserve">Launch private-provider subscriptions as a paid B2B product</w:t>
      </w:r>
    </w:p>
    <w:p>
      <w:pPr>
        <w:pStyle w:val="ListParagraph"/>
        <w:numPr>
          <w:ilvl w:val="0"/>
          <w:numId w:val="2"/>
        </w:numPr>
        <w:spacing w:after="90"/>
      </w:pPr>
      <w:r>
        <w:rPr>
          <w:color w:val="1B1524"/>
          <w:sz w:val="22"/>
          <w:szCs w:val="22"/>
        </w:rPr>
        <w:t xml:space="preserve">Integrate M-Pesa (Daraja API) billing for subscriptions</w:t>
      </w:r>
    </w:p>
    <w:p>
      <w:pPr>
        <w:pStyle w:val="ListParagraph"/>
        <w:numPr>
          <w:ilvl w:val="0"/>
          <w:numId w:val="2"/>
        </w:numPr>
        <w:spacing w:after="90"/>
      </w:pPr>
      <w:r>
        <w:rPr>
          <w:color w:val="1B1524"/>
          <w:sz w:val="22"/>
          <w:szCs w:val="22"/>
        </w:rPr>
        <w:t xml:space="preserve">Reach 5,000 registered users and 200 verified responders</w:t>
      </w:r>
    </w:p>
    <w:p>
      <w:pPr>
        <w:pStyle w:val="Heading2"/>
        <w:spacing w:after="140" w:before="260"/>
      </w:pPr>
      <w:r>
        <w:rPr>
          <w:color w:val="3D1152"/>
        </w:rPr>
        <w:t xml:space="preserve">Year 3 — Scale</w:t>
      </w:r>
    </w:p>
    <w:p>
      <w:pPr>
        <w:pStyle w:val="ListParagraph"/>
        <w:numPr>
          <w:ilvl w:val="0"/>
          <w:numId w:val="2"/>
        </w:numPr>
        <w:spacing w:after="90"/>
      </w:pPr>
      <w:r>
        <w:rPr>
          <w:color w:val="1B1524"/>
          <w:sz w:val="22"/>
          <w:szCs w:val="22"/>
        </w:rPr>
        <w:t xml:space="preserve">National rollout to 15+ counties</w:t>
      </w:r>
    </w:p>
    <w:p>
      <w:pPr>
        <w:pStyle w:val="ListParagraph"/>
        <w:numPr>
          <w:ilvl w:val="0"/>
          <w:numId w:val="2"/>
        </w:numPr>
        <w:spacing w:after="90"/>
      </w:pPr>
      <w:r>
        <w:rPr>
          <w:color w:val="1B1524"/>
          <w:sz w:val="22"/>
          <w:szCs w:val="22"/>
        </w:rPr>
        <w:t xml:space="preserve">Formal county government and NGO partnerships for public-network funding</w:t>
      </w:r>
    </w:p>
    <w:p>
      <w:pPr>
        <w:pStyle w:val="ListParagraph"/>
        <w:numPr>
          <w:ilvl w:val="0"/>
          <w:numId w:val="2"/>
        </w:numPr>
        <w:spacing w:after="90"/>
      </w:pPr>
      <w:r>
        <w:rPr>
          <w:color w:val="1B1524"/>
          <w:sz w:val="22"/>
          <w:szCs w:val="22"/>
        </w:rPr>
        <w:t xml:space="preserve">Multilingual AI triage in Swahili and other local languages</w:t>
      </w:r>
    </w:p>
    <w:p>
      <w:pPr>
        <w:pStyle w:val="ListParagraph"/>
        <w:numPr>
          <w:ilvl w:val="0"/>
          <w:numId w:val="2"/>
        </w:numPr>
        <w:spacing w:after="90"/>
      </w:pPr>
      <w:r>
        <w:rPr>
          <w:color w:val="1B1524"/>
          <w:sz w:val="22"/>
          <w:szCs w:val="22"/>
        </w:rPr>
        <w:t xml:space="preserve">Reach operating break-even</w:t>
      </w:r>
    </w:p>
    <w:p>
      <w:pPr>
        <w:pStyle w:val="Heading2"/>
        <w:spacing w:after="140" w:before="260"/>
      </w:pPr>
      <w:r>
        <w:rPr>
          <w:color w:val="3D1152"/>
        </w:rPr>
        <w:t xml:space="preserve">Year 4 — Regional Growth</w:t>
      </w:r>
    </w:p>
    <w:p>
      <w:pPr>
        <w:pStyle w:val="ListParagraph"/>
        <w:numPr>
          <w:ilvl w:val="0"/>
          <w:numId w:val="2"/>
        </w:numPr>
        <w:spacing w:after="90"/>
      </w:pPr>
      <w:r>
        <w:rPr>
          <w:color w:val="1B1524"/>
          <w:sz w:val="22"/>
          <w:szCs w:val="22"/>
        </w:rPr>
        <w:t xml:space="preserve">Expand into Uganda, Tanzania and Rwanda</w:t>
      </w:r>
    </w:p>
    <w:p>
      <w:pPr>
        <w:pStyle w:val="ListParagraph"/>
        <w:numPr>
          <w:ilvl w:val="0"/>
          <w:numId w:val="2"/>
        </w:numPr>
        <w:spacing w:after="90"/>
      </w:pPr>
      <w:r>
        <w:rPr>
          <w:color w:val="1B1524"/>
          <w:sz w:val="22"/>
          <w:szCs w:val="22"/>
        </w:rPr>
        <w:t xml:space="preserve">Hospital and insurer billing integrations for direct claims and payment</w:t>
      </w:r>
    </w:p>
    <w:p>
      <w:pPr>
        <w:pStyle w:val="ListParagraph"/>
        <w:numPr>
          <w:ilvl w:val="0"/>
          <w:numId w:val="2"/>
        </w:numPr>
        <w:spacing w:after="90"/>
      </w:pPr>
      <w:r>
        <w:rPr>
          <w:color w:val="1B1524"/>
          <w:sz w:val="22"/>
          <w:szCs w:val="22"/>
        </w:rPr>
        <w:t xml:space="preserve">Surpass 100,000 users and 2,000 verified responders across the network</w:t>
      </w:r>
    </w:p>
    <w:p>
      <w:pPr>
        <w:pStyle w:val="Heading2"/>
        <w:spacing w:after="140" w:before="260"/>
      </w:pPr>
      <w:r>
        <w:rPr>
          <w:color w:val="3D1152"/>
        </w:rPr>
        <w:t xml:space="preserve">Year 5 — Regional Leader</w:t>
      </w:r>
    </w:p>
    <w:p>
      <w:pPr>
        <w:pStyle w:val="ListParagraph"/>
        <w:numPr>
          <w:ilvl w:val="0"/>
          <w:numId w:val="2"/>
        </w:numPr>
        <w:spacing w:after="90"/>
      </w:pPr>
      <w:r>
        <w:rPr>
          <w:color w:val="1B1524"/>
          <w:sz w:val="22"/>
          <w:szCs w:val="22"/>
        </w:rPr>
        <w:t xml:space="preserve">eKonnect established as East Africa's emergency-response backbone</w:t>
      </w:r>
    </w:p>
    <w:p>
      <w:pPr>
        <w:pStyle w:val="ListParagraph"/>
        <w:numPr>
          <w:ilvl w:val="0"/>
          <w:numId w:val="2"/>
        </w:numPr>
        <w:spacing w:after="90"/>
      </w:pPr>
      <w:r>
        <w:rPr>
          <w:color w:val="1B1524"/>
          <w:sz w:val="22"/>
          <w:szCs w:val="22"/>
        </w:rPr>
        <w:t xml:space="preserve">SDG-aligned impact reporting delivered directly to government and development partners</w:t>
      </w:r>
    </w:p>
    <w:p>
      <w:pPr>
        <w:pStyle w:val="ListParagraph"/>
        <w:numPr>
          <w:ilvl w:val="0"/>
          <w:numId w:val="2"/>
        </w:numPr>
        <w:spacing w:after="90"/>
      </w:pPr>
      <w:r>
        <w:rPr>
          <w:color w:val="1B1524"/>
          <w:sz w:val="22"/>
          <w:szCs w:val="22"/>
        </w:rPr>
        <w:t xml:space="preserve">Raise a Series A to fund continued regional expansion</w:t>
      </w:r>
    </w:p>
    <w:p>
      <w:r>
        <w:br w:type="page"/>
      </w:r>
    </w:p>
    <w:p>
      <w:pPr>
        <w:pStyle w:val="Heading1"/>
        <w:spacing w:after="200" w:before="320"/>
      </w:pPr>
      <w:r>
        <w:rPr>
          <w:color w:val="1E0830"/>
        </w:rPr>
        <w:t xml:space="preserve">9. Financial Plan</w:t>
      </w:r>
    </w:p>
    <w:p>
      <w:pPr>
        <w:pStyle w:val="Heading2"/>
        <w:spacing w:after="140" w:before="260"/>
      </w:pPr>
      <w:r>
        <w:rPr>
          <w:color w:val="3D1152"/>
        </w:rPr>
        <w:t xml:space="preserve">9.1 The ask: KSH 5.7 million</w:t>
      </w:r>
    </w:p>
    <w:p>
      <w:pPr>
        <w:spacing w:after="160" w:line="276"/>
      </w:pPr>
      <w:r>
        <w:rPr>
          <w:color w:val="1B1524"/>
          <w:sz w:val="22"/>
          <w:szCs w:val="22"/>
        </w:rPr>
        <w:t xml:space="preserve">This round funds eKonnect from a pilot-ready product to a verified, government- and partner-facing county launch. It is deliberately weighted toward infrastructure reliability and compliance — the two things a public-sector and hospital partner will diligence hardest before putting their name on the platform — alongside the remaining engineering work to finish payments and reporting.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200"/>
        <w:gridCol w:w="1800"/>
      </w:tblGrid>
      <w:tr>
        <w:trPr>
          <w:tblHeader/>
        </w:trPr>
        <w:tc>
          <w:tcPr>
            <w:tcW w:type="dxa" w:w="500"/>
            <w:shd w:fill="3D1152" w:val="clear"/>
            <w:tcMar>
              <w:top w:type="dxa" w:w="100"/>
              <w:left w:type="dxa" w:w="120"/>
              <w:bottom w:type="dxa" w:w="100"/>
              <w:right w:type="dxa" w:w="120"/>
            </w:tcMar>
            <w:vAlign w:val="center"/>
          </w:tcPr>
          <w:p>
            <w:pPr>
              <w:jc w:val="left"/>
            </w:pPr>
            <w:r>
              <w:rPr>
                <w:b/>
                <w:bCs/>
                <w:color w:val="FFFFFF"/>
                <w:sz w:val="20"/>
                <w:szCs w:val="20"/>
              </w:rPr>
              <w:t xml:space="preserve">#</w:t>
            </w:r>
          </w:p>
        </w:tc>
        <w:tc>
          <w:tcPr>
            <w:tcW w:type="dxa" w:w="3000"/>
            <w:shd w:fill="3D1152"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4200"/>
            <w:shd w:fill="3D1152" w:val="clear"/>
            <w:tcMar>
              <w:top w:type="dxa" w:w="100"/>
              <w:left w:type="dxa" w:w="120"/>
              <w:bottom w:type="dxa" w:w="100"/>
              <w:right w:type="dxa" w:w="120"/>
            </w:tcMar>
            <w:vAlign w:val="center"/>
          </w:tcPr>
          <w:p>
            <w:pPr>
              <w:jc w:val="left"/>
            </w:pPr>
            <w:r>
              <w:rPr>
                <w:b/>
                <w:bCs/>
                <w:color w:val="FFFFFF"/>
                <w:sz w:val="20"/>
                <w:szCs w:val="20"/>
              </w:rPr>
              <w:t xml:space="preserve">What it covers</w:t>
            </w:r>
          </w:p>
        </w:tc>
        <w:tc>
          <w:tcPr>
            <w:tcW w:type="dxa" w:w="1800"/>
            <w:shd w:fill="3D1152" w:val="clear"/>
            <w:tcMar>
              <w:top w:type="dxa" w:w="100"/>
              <w:left w:type="dxa" w:w="120"/>
              <w:bottom w:type="dxa" w:w="100"/>
              <w:right w:type="dxa" w:w="120"/>
            </w:tcMar>
            <w:vAlign w:val="center"/>
          </w:tcPr>
          <w:p>
            <w:pPr>
              <w:jc w:val="left"/>
            </w:pPr>
            <w:r>
              <w:rPr>
                <w:b/>
                <w:bCs/>
                <w:color w:val="FFFFFF"/>
                <w:sz w:val="20"/>
                <w:szCs w:val="20"/>
              </w:rPr>
              <w:t xml:space="preserve">Amount (KSH)</w:t>
            </w:r>
          </w:p>
        </w:tc>
      </w:tr>
      <w:tr>
        <w:tc>
          <w:tcPr>
            <w:tcW w:type="dxa" w:w="500"/>
            <w:tcMar>
              <w:top w:type="dxa" w:w="100"/>
              <w:left w:type="dxa" w:w="120"/>
              <w:bottom w:type="dxa" w:w="100"/>
              <w:right w:type="dxa" w:w="120"/>
            </w:tcMar>
            <w:vAlign w:val="center"/>
          </w:tcPr>
          <w:p>
            <w:pPr>
              <w:jc w:val="left"/>
            </w:pPr>
            <w:r>
              <w:rPr>
                <w:b w:val="false"/>
                <w:bCs w:val="false"/>
                <w:color w:val="1B1524"/>
                <w:sz w:val="20"/>
                <w:szCs w:val="20"/>
              </w:rPr>
              <w:t xml:space="preserve">1</w:t>
            </w:r>
          </w:p>
        </w:tc>
        <w:tc>
          <w:tcPr>
            <w:tcW w:type="dxa" w:w="3000"/>
            <w:tcMar>
              <w:top w:type="dxa" w:w="100"/>
              <w:left w:type="dxa" w:w="120"/>
              <w:bottom w:type="dxa" w:w="100"/>
              <w:right w:type="dxa" w:w="120"/>
            </w:tcMar>
            <w:vAlign w:val="center"/>
          </w:tcPr>
          <w:p>
            <w:pPr>
              <w:jc w:val="left"/>
            </w:pPr>
            <w:r>
              <w:rPr>
                <w:b w:val="false"/>
                <w:bCs w:val="false"/>
                <w:color w:val="1B1524"/>
                <w:sz w:val="20"/>
                <w:szCs w:val="20"/>
              </w:rPr>
              <w:t xml:space="preserve">Infrastructure &amp; uptime</w:t>
            </w:r>
          </w:p>
        </w:tc>
        <w:tc>
          <w:tcPr>
            <w:tcW w:type="dxa" w:w="4200"/>
            <w:tcMar>
              <w:top w:type="dxa" w:w="100"/>
              <w:left w:type="dxa" w:w="120"/>
              <w:bottom w:type="dxa" w:w="100"/>
              <w:right w:type="dxa" w:w="120"/>
            </w:tcMar>
            <w:vAlign w:val="center"/>
          </w:tcPr>
          <w:p>
            <w:pPr>
              <w:jc w:val="left"/>
            </w:pPr>
            <w:r>
              <w:rPr>
                <w:b w:val="false"/>
                <w:bCs w:val="false"/>
                <w:color w:val="1B1524"/>
                <w:sz w:val="20"/>
                <w:szCs w:val="20"/>
              </w:rPr>
              <w:t xml:space="preserve">Cloud hosting with redundancy, real-time data services, backup and disaster recovery</w:t>
            </w:r>
          </w:p>
        </w:tc>
        <w:tc>
          <w:tcPr>
            <w:tcW w:type="dxa" w:w="1800"/>
            <w:tcMar>
              <w:top w:type="dxa" w:w="100"/>
              <w:left w:type="dxa" w:w="120"/>
              <w:bottom w:type="dxa" w:w="100"/>
              <w:right w:type="dxa" w:w="120"/>
            </w:tcMar>
            <w:vAlign w:val="center"/>
          </w:tcPr>
          <w:p>
            <w:pPr>
              <w:jc w:val="left"/>
            </w:pPr>
            <w:r>
              <w:rPr>
                <w:b w:val="false"/>
                <w:bCs w:val="false"/>
                <w:color w:val="1B1524"/>
                <w:sz w:val="20"/>
                <w:szCs w:val="20"/>
              </w:rPr>
              <w:t xml:space="preserve">1,700,000</w:t>
            </w:r>
          </w:p>
        </w:tc>
      </w:tr>
      <w:tr>
        <w:tc>
          <w:tcPr>
            <w:tcW w:type="dxa" w:w="5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2</w:t>
            </w:r>
          </w:p>
        </w:tc>
        <w:tc>
          <w:tcPr>
            <w:tcW w:type="dxa" w:w="30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Data security &amp; compliance</w:t>
            </w:r>
          </w:p>
        </w:tc>
        <w:tc>
          <w:tcPr>
            <w:tcW w:type="dxa" w:w="4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Data-protection licensing and compliance work for a government- and health-facing platform</w:t>
            </w:r>
          </w:p>
        </w:tc>
        <w:tc>
          <w:tcPr>
            <w:tcW w:type="dxa" w:w="1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500,000</w:t>
            </w:r>
          </w:p>
        </w:tc>
      </w:tr>
      <w:tr>
        <w:tc>
          <w:tcPr>
            <w:tcW w:type="dxa" w:w="500"/>
            <w:tcMar>
              <w:top w:type="dxa" w:w="100"/>
              <w:left w:type="dxa" w:w="120"/>
              <w:bottom w:type="dxa" w:w="100"/>
              <w:right w:type="dxa" w:w="120"/>
            </w:tcMar>
            <w:vAlign w:val="center"/>
          </w:tcPr>
          <w:p>
            <w:pPr>
              <w:jc w:val="left"/>
            </w:pPr>
            <w:r>
              <w:rPr>
                <w:b w:val="false"/>
                <w:bCs w:val="false"/>
                <w:color w:val="1B1524"/>
                <w:sz w:val="20"/>
                <w:szCs w:val="20"/>
              </w:rPr>
              <w:t xml:space="preserve">3</w:t>
            </w:r>
          </w:p>
        </w:tc>
        <w:tc>
          <w:tcPr>
            <w:tcW w:type="dxa" w:w="3000"/>
            <w:tcMar>
              <w:top w:type="dxa" w:w="100"/>
              <w:left w:type="dxa" w:w="120"/>
              <w:bottom w:type="dxa" w:w="100"/>
              <w:right w:type="dxa" w:w="120"/>
            </w:tcMar>
            <w:vAlign w:val="center"/>
          </w:tcPr>
          <w:p>
            <w:pPr>
              <w:jc w:val="left"/>
            </w:pPr>
            <w:r>
              <w:rPr>
                <w:b w:val="false"/>
                <w:bCs w:val="false"/>
                <w:color w:val="1B1524"/>
                <w:sz w:val="20"/>
                <w:szCs w:val="20"/>
              </w:rPr>
              <w:t xml:space="preserve">People &amp; operations</w:t>
            </w:r>
          </w:p>
        </w:tc>
        <w:tc>
          <w:tcPr>
            <w:tcW w:type="dxa" w:w="4200"/>
            <w:tcMar>
              <w:top w:type="dxa" w:w="100"/>
              <w:left w:type="dxa" w:w="120"/>
              <w:bottom w:type="dxa" w:w="100"/>
              <w:right w:type="dxa" w:w="120"/>
            </w:tcMar>
            <w:vAlign w:val="center"/>
          </w:tcPr>
          <w:p>
            <w:pPr>
              <w:jc w:val="left"/>
            </w:pPr>
            <w:r>
              <w:rPr>
                <w:b w:val="false"/>
                <w:bCs w:val="false"/>
                <w:color w:val="1B1524"/>
                <w:sz w:val="20"/>
                <w:szCs w:val="20"/>
              </w:rPr>
              <w:t xml:space="preserve">Responder training and organisational change management during county onboarding</w:t>
            </w:r>
          </w:p>
        </w:tc>
        <w:tc>
          <w:tcPr>
            <w:tcW w:type="dxa" w:w="1800"/>
            <w:tcMar>
              <w:top w:type="dxa" w:w="100"/>
              <w:left w:type="dxa" w:w="120"/>
              <w:bottom w:type="dxa" w:w="100"/>
              <w:right w:type="dxa" w:w="120"/>
            </w:tcMar>
            <w:vAlign w:val="center"/>
          </w:tcPr>
          <w:p>
            <w:pPr>
              <w:jc w:val="left"/>
            </w:pPr>
            <w:r>
              <w:rPr>
                <w:b w:val="false"/>
                <w:bCs w:val="false"/>
                <w:color w:val="1B1524"/>
                <w:sz w:val="20"/>
                <w:szCs w:val="20"/>
              </w:rPr>
              <w:t xml:space="preserve">500,000</w:t>
            </w:r>
          </w:p>
        </w:tc>
      </w:tr>
      <w:tr>
        <w:tc>
          <w:tcPr>
            <w:tcW w:type="dxa" w:w="5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4</w:t>
            </w:r>
          </w:p>
        </w:tc>
        <w:tc>
          <w:tcPr>
            <w:tcW w:type="dxa" w:w="30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Project development</w:t>
            </w:r>
          </w:p>
        </w:tc>
        <w:tc>
          <w:tcPr>
            <w:tcW w:type="dxa" w:w="4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Remaining app engineering: M-Pesa billing integration, offline resilience, admin reporting</w:t>
            </w:r>
          </w:p>
        </w:tc>
        <w:tc>
          <w:tcPr>
            <w:tcW w:type="dxa" w:w="1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2,000,000</w:t>
            </w:r>
          </w:p>
        </w:tc>
      </w:tr>
      <w:tr>
        <w:tc>
          <w:tcPr>
            <w:tcW w:type="dxa" w:w="500"/>
            <w:tcMar>
              <w:top w:type="dxa" w:w="100"/>
              <w:left w:type="dxa" w:w="120"/>
              <w:bottom w:type="dxa" w:w="100"/>
              <w:right w:type="dxa" w:w="120"/>
            </w:tcMar>
            <w:vAlign w:val="center"/>
          </w:tcPr>
          <w:p>
            <w:pPr>
              <w:jc w:val="left"/>
            </w:pPr>
            <w:r>
              <w:rPr>
                <w:b w:val="false"/>
                <w:bCs w:val="false"/>
                <w:color w:val="1B1524"/>
                <w:sz w:val="20"/>
                <w:szCs w:val="20"/>
              </w:rPr>
              <w:t xml:space="preserve">5</w:t>
            </w:r>
          </w:p>
        </w:tc>
        <w:tc>
          <w:tcPr>
            <w:tcW w:type="dxa" w:w="3000"/>
            <w:tcMar>
              <w:top w:type="dxa" w:w="100"/>
              <w:left w:type="dxa" w:w="120"/>
              <w:bottom w:type="dxa" w:w="100"/>
              <w:right w:type="dxa" w:w="120"/>
            </w:tcMar>
            <w:vAlign w:val="center"/>
          </w:tcPr>
          <w:p>
            <w:pPr>
              <w:jc w:val="left"/>
            </w:pPr>
            <w:r>
              <w:rPr>
                <w:b w:val="false"/>
                <w:bCs w:val="false"/>
                <w:color w:val="1B1524"/>
                <w:sz w:val="20"/>
                <w:szCs w:val="20"/>
              </w:rPr>
              <w:t xml:space="preserve">Contingency &amp; working capital</w:t>
            </w:r>
          </w:p>
        </w:tc>
        <w:tc>
          <w:tcPr>
            <w:tcW w:type="dxa" w:w="4200"/>
            <w:tcMar>
              <w:top w:type="dxa" w:w="100"/>
              <w:left w:type="dxa" w:w="120"/>
              <w:bottom w:type="dxa" w:w="100"/>
              <w:right w:type="dxa" w:w="120"/>
            </w:tcMar>
            <w:vAlign w:val="center"/>
          </w:tcPr>
          <w:p>
            <w:pPr>
              <w:jc w:val="left"/>
            </w:pPr>
            <w:r>
              <w:rPr>
                <w:b w:val="false"/>
                <w:bCs w:val="false"/>
                <w:color w:val="1B1524"/>
                <w:sz w:val="20"/>
                <w:szCs w:val="20"/>
              </w:rPr>
              <w:t xml:space="preserve">Buffer for pilot-phase operating costs and unplanned costs during first county launch</w:t>
            </w:r>
          </w:p>
        </w:tc>
        <w:tc>
          <w:tcPr>
            <w:tcW w:type="dxa" w:w="1800"/>
            <w:tcMar>
              <w:top w:type="dxa" w:w="100"/>
              <w:left w:type="dxa" w:w="120"/>
              <w:bottom w:type="dxa" w:w="100"/>
              <w:right w:type="dxa" w:w="120"/>
            </w:tcMar>
            <w:vAlign w:val="center"/>
          </w:tcPr>
          <w:p>
            <w:pPr>
              <w:jc w:val="left"/>
            </w:pPr>
            <w:r>
              <w:rPr>
                <w:b w:val="false"/>
                <w:bCs w:val="false"/>
                <w:color w:val="1B1524"/>
                <w:sz w:val="20"/>
                <w:szCs w:val="20"/>
              </w:rPr>
              <w:t xml:space="preserve">1,000,000</w:t>
            </w:r>
          </w:p>
        </w:tc>
      </w:tr>
      <w:tr>
        <w:tc>
          <w:tcPr>
            <w:tcW w:type="dxa" w:w="5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
            </w:r>
          </w:p>
        </w:tc>
        <w:tc>
          <w:tcPr>
            <w:tcW w:type="dxa" w:w="30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Total</w:t>
            </w:r>
          </w:p>
        </w:tc>
        <w:tc>
          <w:tcPr>
            <w:tcW w:type="dxa" w:w="4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
            </w:r>
          </w:p>
        </w:tc>
        <w:tc>
          <w:tcPr>
            <w:tcW w:type="dxa" w:w="1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5,700,000</w:t>
            </w:r>
          </w:p>
        </w:tc>
      </w:tr>
    </w:tbl>
    <w:p>
      <w:pPr>
        <w:spacing w:after="200"/>
      </w:pPr>
      <w:r>
        <w:rPr>
          <w:i/>
          <w:iCs/>
          <w:color w:val="6B6675"/>
          <w:sz w:val="18"/>
          <w:szCs w:val="18"/>
        </w:rPr>
        <w:t xml:space="preserve">Note: the fifth line item — a KSH 1.0M contingency and working-capital buffer — has been added here to reconcile the funding ask with the itemised budget; the first four categories alone total KSH 4.7M against the KSH 5.7M headline ask.</w:t>
      </w:r>
    </w:p>
    <w:p>
      <w:pPr>
        <w:pStyle w:val="Heading2"/>
        <w:spacing w:after="140" w:before="260"/>
      </w:pPr>
      <w:r>
        <w:rPr>
          <w:color w:val="3D1152"/>
        </w:rPr>
        <w:t xml:space="preserve">9.2 Illustrative revenue projection</w:t>
      </w:r>
    </w:p>
    <w:p>
      <w:pPr>
        <w:spacing w:after="160" w:line="276"/>
      </w:pPr>
      <w:r>
        <w:rPr>
          <w:color w:val="1B1524"/>
          <w:sz w:val="22"/>
          <w:szCs w:val="22"/>
        </w:rPr>
        <w:t xml:space="preserve">The figures below are planning estimates, not forecasts of committed revenue, built from the subscription and grant assumptions in Section 5. They are intended to show the shape of the business — grant-funded public infrastructure in Year 1, a growing private-subscription base from Year 2, and break-even by Year 3 — rather than to represent guaranteed outcomes.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200"/>
        <w:gridCol w:w="1500"/>
        <w:gridCol w:w="1900"/>
      </w:tblGrid>
      <w:tr>
        <w:trPr>
          <w:tblHeader/>
        </w:trPr>
        <w:tc>
          <w:tcPr>
            <w:tcW w:type="dxa" w:w="1300"/>
            <w:shd w:fill="3D1152" w:val="clear"/>
            <w:tcMar>
              <w:top w:type="dxa" w:w="100"/>
              <w:left w:type="dxa" w:w="120"/>
              <w:bottom w:type="dxa" w:w="100"/>
              <w:right w:type="dxa" w:w="120"/>
            </w:tcMar>
            <w:vAlign w:val="center"/>
          </w:tcPr>
          <w:p>
            <w:pPr>
              <w:jc w:val="left"/>
            </w:pPr>
            <w:r>
              <w:rPr>
                <w:b/>
                <w:bCs/>
                <w:color w:val="FFFFFF"/>
                <w:sz w:val="20"/>
                <w:szCs w:val="20"/>
              </w:rPr>
              <w:t xml:space="preserve">Year</w:t>
            </w:r>
          </w:p>
        </w:tc>
        <w:tc>
          <w:tcPr>
            <w:tcW w:type="dxa" w:w="3000"/>
            <w:shd w:fill="3D1152" w:val="clear"/>
            <w:tcMar>
              <w:top w:type="dxa" w:w="100"/>
              <w:left w:type="dxa" w:w="120"/>
              <w:bottom w:type="dxa" w:w="100"/>
              <w:right w:type="dxa" w:w="120"/>
            </w:tcMar>
            <w:vAlign w:val="center"/>
          </w:tcPr>
          <w:p>
            <w:pPr>
              <w:jc w:val="left"/>
            </w:pPr>
            <w:r>
              <w:rPr>
                <w:b/>
                <w:bCs/>
                <w:color w:val="FFFFFF"/>
                <w:sz w:val="20"/>
                <w:szCs w:val="20"/>
              </w:rPr>
              <w:t xml:space="preserve">Public network funding (grants/gov't)</w:t>
            </w:r>
          </w:p>
        </w:tc>
        <w:tc>
          <w:tcPr>
            <w:tcW w:type="dxa" w:w="2200"/>
            <w:shd w:fill="3D1152" w:val="clear"/>
            <w:tcMar>
              <w:top w:type="dxa" w:w="100"/>
              <w:left w:type="dxa" w:w="120"/>
              <w:bottom w:type="dxa" w:w="100"/>
              <w:right w:type="dxa" w:w="120"/>
            </w:tcMar>
            <w:vAlign w:val="center"/>
          </w:tcPr>
          <w:p>
            <w:pPr>
              <w:jc w:val="left"/>
            </w:pPr>
            <w:r>
              <w:rPr>
                <w:b/>
                <w:bCs/>
                <w:color w:val="FFFFFF"/>
                <w:sz w:val="20"/>
                <w:szCs w:val="20"/>
              </w:rPr>
              <w:t xml:space="preserve">Private subscription revenue</w:t>
            </w:r>
          </w:p>
        </w:tc>
        <w:tc>
          <w:tcPr>
            <w:tcW w:type="dxa" w:w="1500"/>
            <w:shd w:fill="3D1152" w:val="clear"/>
            <w:tcMar>
              <w:top w:type="dxa" w:w="100"/>
              <w:left w:type="dxa" w:w="120"/>
              <w:bottom w:type="dxa" w:w="100"/>
              <w:right w:type="dxa" w:w="120"/>
            </w:tcMar>
            <w:vAlign w:val="center"/>
          </w:tcPr>
          <w:p>
            <w:pPr>
              <w:jc w:val="left"/>
            </w:pPr>
            <w:r>
              <w:rPr>
                <w:b/>
                <w:bCs/>
                <w:color w:val="FFFFFF"/>
                <w:sz w:val="20"/>
                <w:szCs w:val="20"/>
              </w:rPr>
              <w:t xml:space="preserve">Total</w:t>
            </w:r>
          </w:p>
        </w:tc>
        <w:tc>
          <w:tcPr>
            <w:tcW w:type="dxa" w:w="1900"/>
            <w:shd w:fill="3D1152" w:val="clear"/>
            <w:tcMar>
              <w:top w:type="dxa" w:w="100"/>
              <w:left w:type="dxa" w:w="120"/>
              <w:bottom w:type="dxa" w:w="100"/>
              <w:right w:type="dxa" w:w="120"/>
            </w:tcMar>
            <w:vAlign w:val="center"/>
          </w:tcPr>
          <w:p>
            <w:pPr>
              <w:jc w:val="left"/>
            </w:pPr>
            <w:r>
              <w:rPr>
                <w:b/>
                <w:bCs/>
                <w:color w:val="FFFFFF"/>
                <w:sz w:val="20"/>
                <w:szCs w:val="20"/>
              </w:rPr>
              <w:t xml:space="preserve">Status</w:t>
            </w:r>
          </w:p>
        </w:tc>
      </w:tr>
      <w:tr>
        <w:tc>
          <w:tcPr>
            <w:tcW w:type="dxa" w:w="1300"/>
            <w:tcMar>
              <w:top w:type="dxa" w:w="100"/>
              <w:left w:type="dxa" w:w="120"/>
              <w:bottom w:type="dxa" w:w="100"/>
              <w:right w:type="dxa" w:w="120"/>
            </w:tcMar>
            <w:vAlign w:val="center"/>
          </w:tcPr>
          <w:p>
            <w:pPr>
              <w:jc w:val="left"/>
            </w:pPr>
            <w:r>
              <w:rPr>
                <w:b w:val="false"/>
                <w:bCs w:val="false"/>
                <w:color w:val="1B1524"/>
                <w:sz w:val="20"/>
                <w:szCs w:val="20"/>
              </w:rPr>
              <w:t xml:space="preserve">Year 1</w:t>
            </w:r>
          </w:p>
        </w:tc>
        <w:tc>
          <w:tcPr>
            <w:tcW w:type="dxa" w:w="3000"/>
            <w:tcMar>
              <w:top w:type="dxa" w:w="100"/>
              <w:left w:type="dxa" w:w="120"/>
              <w:bottom w:type="dxa" w:w="100"/>
              <w:right w:type="dxa" w:w="120"/>
            </w:tcMar>
            <w:vAlign w:val="center"/>
          </w:tcPr>
          <w:p>
            <w:pPr>
              <w:jc w:val="left"/>
            </w:pPr>
            <w:r>
              <w:rPr>
                <w:b w:val="false"/>
                <w:bCs w:val="false"/>
                <w:color w:val="1B1524"/>
                <w:sz w:val="20"/>
                <w:szCs w:val="20"/>
              </w:rPr>
              <w:t xml:space="preserve">KSH 5.7M (this raise)</w:t>
            </w:r>
          </w:p>
        </w:tc>
        <w:tc>
          <w:tcPr>
            <w:tcW w:type="dxa" w:w="2200"/>
            <w:tcMar>
              <w:top w:type="dxa" w:w="100"/>
              <w:left w:type="dxa" w:w="120"/>
              <w:bottom w:type="dxa" w:w="100"/>
              <w:right w:type="dxa" w:w="120"/>
            </w:tcMar>
            <w:vAlign w:val="center"/>
          </w:tcPr>
          <w:p>
            <w:pPr>
              <w:jc w:val="left"/>
            </w:pPr>
            <w:r>
              <w:rPr>
                <w:b w:val="false"/>
                <w:bCs w:val="false"/>
                <w:color w:val="1B1524"/>
                <w:sz w:val="20"/>
                <w:szCs w:val="20"/>
              </w:rPr>
              <w:t xml:space="preserve">—</w:t>
            </w:r>
          </w:p>
        </w:tc>
        <w:tc>
          <w:tcPr>
            <w:tcW w:type="dxa" w:w="1500"/>
            <w:tcMar>
              <w:top w:type="dxa" w:w="100"/>
              <w:left w:type="dxa" w:w="120"/>
              <w:bottom w:type="dxa" w:w="100"/>
              <w:right w:type="dxa" w:w="120"/>
            </w:tcMar>
            <w:vAlign w:val="center"/>
          </w:tcPr>
          <w:p>
            <w:pPr>
              <w:jc w:val="left"/>
            </w:pPr>
            <w:r>
              <w:rPr>
                <w:b w:val="false"/>
                <w:bCs w:val="false"/>
                <w:color w:val="1B1524"/>
                <w:sz w:val="20"/>
                <w:szCs w:val="20"/>
              </w:rPr>
              <w:t xml:space="preserve">KSH 5.7M</w:t>
            </w:r>
          </w:p>
        </w:tc>
        <w:tc>
          <w:tcPr>
            <w:tcW w:type="dxa" w:w="1900"/>
            <w:tcMar>
              <w:top w:type="dxa" w:w="100"/>
              <w:left w:type="dxa" w:w="120"/>
              <w:bottom w:type="dxa" w:w="100"/>
              <w:right w:type="dxa" w:w="120"/>
            </w:tcMar>
            <w:vAlign w:val="center"/>
          </w:tcPr>
          <w:p>
            <w:pPr>
              <w:jc w:val="left"/>
            </w:pPr>
            <w:r>
              <w:rPr>
                <w:b w:val="false"/>
                <w:bCs w:val="false"/>
                <w:color w:val="1B1524"/>
                <w:sz w:val="20"/>
                <w:szCs w:val="20"/>
              </w:rPr>
              <w:t xml:space="preserve">Seed-funded pilot</w:t>
            </w:r>
          </w:p>
        </w:tc>
      </w:tr>
      <w:tr>
        <w:tc>
          <w:tcPr>
            <w:tcW w:type="dxa" w:w="13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Year 2</w:t>
            </w:r>
          </w:p>
        </w:tc>
        <w:tc>
          <w:tcPr>
            <w:tcW w:type="dxa" w:w="30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KSH 6–8M (renewed/expanded grants)</w:t>
            </w:r>
          </w:p>
        </w:tc>
        <w:tc>
          <w:tcPr>
            <w:tcW w:type="dxa" w:w="2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KSH 2–3M</w:t>
            </w:r>
          </w:p>
        </w:tc>
        <w:tc>
          <w:tcPr>
            <w:tcW w:type="dxa" w:w="15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KSH 9–11M</w:t>
            </w:r>
          </w:p>
        </w:tc>
        <w:tc>
          <w:tcPr>
            <w:tcW w:type="dxa" w:w="19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Early commercial revenue</w:t>
            </w:r>
          </w:p>
        </w:tc>
      </w:tr>
      <w:tr>
        <w:tc>
          <w:tcPr>
            <w:tcW w:type="dxa" w:w="1300"/>
            <w:tcMar>
              <w:top w:type="dxa" w:w="100"/>
              <w:left w:type="dxa" w:w="120"/>
              <w:bottom w:type="dxa" w:w="100"/>
              <w:right w:type="dxa" w:w="120"/>
            </w:tcMar>
            <w:vAlign w:val="center"/>
          </w:tcPr>
          <w:p>
            <w:pPr>
              <w:jc w:val="left"/>
            </w:pPr>
            <w:r>
              <w:rPr>
                <w:b w:val="false"/>
                <w:bCs w:val="false"/>
                <w:color w:val="1B1524"/>
                <w:sz w:val="20"/>
                <w:szCs w:val="20"/>
              </w:rPr>
              <w:t xml:space="preserve">Year 3</w:t>
            </w:r>
          </w:p>
        </w:tc>
        <w:tc>
          <w:tcPr>
            <w:tcW w:type="dxa" w:w="3000"/>
            <w:tcMar>
              <w:top w:type="dxa" w:w="100"/>
              <w:left w:type="dxa" w:w="120"/>
              <w:bottom w:type="dxa" w:w="100"/>
              <w:right w:type="dxa" w:w="120"/>
            </w:tcMar>
            <w:vAlign w:val="center"/>
          </w:tcPr>
          <w:p>
            <w:pPr>
              <w:jc w:val="left"/>
            </w:pPr>
            <w:r>
              <w:rPr>
                <w:b w:val="false"/>
                <w:bCs w:val="false"/>
                <w:color w:val="1B1524"/>
                <w:sz w:val="20"/>
                <w:szCs w:val="20"/>
              </w:rPr>
              <w:t xml:space="preserve">KSH 10–14M (multi-county partnerships)</w:t>
            </w:r>
          </w:p>
        </w:tc>
        <w:tc>
          <w:tcPr>
            <w:tcW w:type="dxa" w:w="2200"/>
            <w:tcMar>
              <w:top w:type="dxa" w:w="100"/>
              <w:left w:type="dxa" w:w="120"/>
              <w:bottom w:type="dxa" w:w="100"/>
              <w:right w:type="dxa" w:w="120"/>
            </w:tcMar>
            <w:vAlign w:val="center"/>
          </w:tcPr>
          <w:p>
            <w:pPr>
              <w:jc w:val="left"/>
            </w:pPr>
            <w:r>
              <w:rPr>
                <w:b w:val="false"/>
                <w:bCs w:val="false"/>
                <w:color w:val="1B1524"/>
                <w:sz w:val="20"/>
                <w:szCs w:val="20"/>
              </w:rPr>
              <w:t xml:space="preserve">KSH 10–14M</w:t>
            </w:r>
          </w:p>
        </w:tc>
        <w:tc>
          <w:tcPr>
            <w:tcW w:type="dxa" w:w="1500"/>
            <w:tcMar>
              <w:top w:type="dxa" w:w="100"/>
              <w:left w:type="dxa" w:w="120"/>
              <w:bottom w:type="dxa" w:w="100"/>
              <w:right w:type="dxa" w:w="120"/>
            </w:tcMar>
            <w:vAlign w:val="center"/>
          </w:tcPr>
          <w:p>
            <w:pPr>
              <w:jc w:val="left"/>
            </w:pPr>
            <w:r>
              <w:rPr>
                <w:b w:val="false"/>
                <w:bCs w:val="false"/>
                <w:color w:val="1B1524"/>
                <w:sz w:val="20"/>
                <w:szCs w:val="20"/>
              </w:rPr>
              <w:t xml:space="preserve">KSH 20–28M</w:t>
            </w:r>
          </w:p>
        </w:tc>
        <w:tc>
          <w:tcPr>
            <w:tcW w:type="dxa" w:w="1900"/>
            <w:tcMar>
              <w:top w:type="dxa" w:w="100"/>
              <w:left w:type="dxa" w:w="120"/>
              <w:bottom w:type="dxa" w:w="100"/>
              <w:right w:type="dxa" w:w="120"/>
            </w:tcMar>
            <w:vAlign w:val="center"/>
          </w:tcPr>
          <w:p>
            <w:pPr>
              <w:jc w:val="left"/>
            </w:pPr>
            <w:r>
              <w:rPr>
                <w:b w:val="false"/>
                <w:bCs w:val="false"/>
                <w:color w:val="1B1524"/>
                <w:sz w:val="20"/>
                <w:szCs w:val="20"/>
              </w:rPr>
              <w:t xml:space="preserve">Operating break-even</w:t>
            </w:r>
          </w:p>
        </w:tc>
      </w:tr>
      <w:tr>
        <w:tc>
          <w:tcPr>
            <w:tcW w:type="dxa" w:w="13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Year 4</w:t>
            </w:r>
          </w:p>
        </w:tc>
        <w:tc>
          <w:tcPr>
            <w:tcW w:type="dxa" w:w="30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KSH 15–20M (regional public partners)</w:t>
            </w:r>
          </w:p>
        </w:tc>
        <w:tc>
          <w:tcPr>
            <w:tcW w:type="dxa" w:w="22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KSH 25–35M</w:t>
            </w:r>
          </w:p>
        </w:tc>
        <w:tc>
          <w:tcPr>
            <w:tcW w:type="dxa" w:w="15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KSH 40–55M</w:t>
            </w:r>
          </w:p>
        </w:tc>
        <w:tc>
          <w:tcPr>
            <w:tcW w:type="dxa" w:w="19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Private revenue majority</w:t>
            </w:r>
          </w:p>
        </w:tc>
      </w:tr>
      <w:tr>
        <w:tc>
          <w:tcPr>
            <w:tcW w:type="dxa" w:w="1300"/>
            <w:tcMar>
              <w:top w:type="dxa" w:w="100"/>
              <w:left w:type="dxa" w:w="120"/>
              <w:bottom w:type="dxa" w:w="100"/>
              <w:right w:type="dxa" w:w="120"/>
            </w:tcMar>
            <w:vAlign w:val="center"/>
          </w:tcPr>
          <w:p>
            <w:pPr>
              <w:jc w:val="left"/>
            </w:pPr>
            <w:r>
              <w:rPr>
                <w:b w:val="false"/>
                <w:bCs w:val="false"/>
                <w:color w:val="1B1524"/>
                <w:sz w:val="20"/>
                <w:szCs w:val="20"/>
              </w:rPr>
              <w:t xml:space="preserve">Year 5</w:t>
            </w:r>
          </w:p>
        </w:tc>
        <w:tc>
          <w:tcPr>
            <w:tcW w:type="dxa" w:w="3000"/>
            <w:tcMar>
              <w:top w:type="dxa" w:w="100"/>
              <w:left w:type="dxa" w:w="120"/>
              <w:bottom w:type="dxa" w:w="100"/>
              <w:right w:type="dxa" w:w="120"/>
            </w:tcMar>
            <w:vAlign w:val="center"/>
          </w:tcPr>
          <w:p>
            <w:pPr>
              <w:jc w:val="left"/>
            </w:pPr>
            <w:r>
              <w:rPr>
                <w:b w:val="false"/>
                <w:bCs w:val="false"/>
                <w:color w:val="1B1524"/>
                <w:sz w:val="20"/>
                <w:szCs w:val="20"/>
              </w:rPr>
              <w:t xml:space="preserve">KSH 20–25M</w:t>
            </w:r>
          </w:p>
        </w:tc>
        <w:tc>
          <w:tcPr>
            <w:tcW w:type="dxa" w:w="2200"/>
            <w:tcMar>
              <w:top w:type="dxa" w:w="100"/>
              <w:left w:type="dxa" w:w="120"/>
              <w:bottom w:type="dxa" w:w="100"/>
              <w:right w:type="dxa" w:w="120"/>
            </w:tcMar>
            <w:vAlign w:val="center"/>
          </w:tcPr>
          <w:p>
            <w:pPr>
              <w:jc w:val="left"/>
            </w:pPr>
            <w:r>
              <w:rPr>
                <w:b w:val="false"/>
                <w:bCs w:val="false"/>
                <w:color w:val="1B1524"/>
                <w:sz w:val="20"/>
                <w:szCs w:val="20"/>
              </w:rPr>
              <w:t xml:space="preserve">KSH 45–60M</w:t>
            </w:r>
          </w:p>
        </w:tc>
        <w:tc>
          <w:tcPr>
            <w:tcW w:type="dxa" w:w="1500"/>
            <w:tcMar>
              <w:top w:type="dxa" w:w="100"/>
              <w:left w:type="dxa" w:w="120"/>
              <w:bottom w:type="dxa" w:w="100"/>
              <w:right w:type="dxa" w:w="120"/>
            </w:tcMar>
            <w:vAlign w:val="center"/>
          </w:tcPr>
          <w:p>
            <w:pPr>
              <w:jc w:val="left"/>
            </w:pPr>
            <w:r>
              <w:rPr>
                <w:b w:val="false"/>
                <w:bCs w:val="false"/>
                <w:color w:val="1B1524"/>
                <w:sz w:val="20"/>
                <w:szCs w:val="20"/>
              </w:rPr>
              <w:t xml:space="preserve">KSH 65–85M</w:t>
            </w:r>
          </w:p>
        </w:tc>
        <w:tc>
          <w:tcPr>
            <w:tcW w:type="dxa" w:w="1900"/>
            <w:tcMar>
              <w:top w:type="dxa" w:w="100"/>
              <w:left w:type="dxa" w:w="120"/>
              <w:bottom w:type="dxa" w:w="100"/>
              <w:right w:type="dxa" w:w="120"/>
            </w:tcMar>
            <w:vAlign w:val="center"/>
          </w:tcPr>
          <w:p>
            <w:pPr>
              <w:jc w:val="left"/>
            </w:pPr>
            <w:r>
              <w:rPr>
                <w:b w:val="false"/>
                <w:bCs w:val="false"/>
                <w:color w:val="1B1524"/>
                <w:sz w:val="20"/>
                <w:szCs w:val="20"/>
              </w:rPr>
              <w:t xml:space="preserve">Series A readiness</w:t>
            </w:r>
          </w:p>
        </w:tc>
      </w:tr>
    </w:tbl>
    <w:p>
      <w:pPr>
        <w:pStyle w:val="Heading2"/>
        <w:spacing w:after="140" w:before="260"/>
      </w:pPr>
      <w:r>
        <w:rPr>
          <w:color w:val="3D1152"/>
        </w:rPr>
        <w:t xml:space="preserve">9.3 Path to break-even</w:t>
      </w:r>
    </w:p>
    <w:p>
      <w:pPr>
        <w:spacing w:after="160" w:line="276"/>
      </w:pPr>
      <w:r>
        <w:rPr>
          <w:color w:val="1B1524"/>
          <w:sz w:val="22"/>
          <w:szCs w:val="22"/>
        </w:rPr>
        <w:t xml:space="preserve">Break-even is targeted for Year 3, once the private-subscription line — hospitals, corporates and insurers paying for their own vetted fleets on the platform — grows large enough to cover infrastructure and operations costs independent of any single grant cycle. Public-network funding continues throughout, but the business does not depend on it for solvency past Year 3, which is the point at which eKonnect is defensible as a company rather than only as a funded programme.</w:t>
      </w:r>
    </w:p>
    <w:p>
      <w:r>
        <w:br w:type="page"/>
      </w:r>
    </w:p>
    <w:p>
      <w:pPr>
        <w:pStyle w:val="Heading1"/>
        <w:spacing w:after="200" w:before="320"/>
      </w:pPr>
      <w:r>
        <w:rPr>
          <w:color w:val="1E0830"/>
        </w:rPr>
        <w:t xml:space="preserve">10. Impact &amp; SDG Alignment</w:t>
      </w:r>
    </w:p>
    <w:p>
      <w:pPr>
        <w:spacing w:after="160" w:line="276"/>
      </w:pPr>
      <w:r>
        <w:rPr>
          <w:color w:val="1B1524"/>
          <w:sz w:val="22"/>
          <w:szCs w:val="22"/>
        </w:rPr>
        <w:t xml:space="preserve">eKonnect is designed against measurable outcomes, not just activity, and those outcomes map directly onto three UN Sustainable Development Goals.</w:t>
      </w:r>
    </w:p>
    <w:p>
      <w:pPr>
        <w:pStyle w:val="Heading3"/>
        <w:spacing w:after="100" w:before="200"/>
      </w:pPr>
      <w:r>
        <w:rPr>
          <w:b/>
          <w:bCs/>
          <w:color w:val="3D1152"/>
        </w:rPr>
        <w:t xml:space="preserve">SDG 3 — Good Health and Well-Being</w:t>
      </w:r>
    </w:p>
    <w:p>
      <w:pPr>
        <w:spacing w:after="160" w:line="276"/>
      </w:pPr>
      <w:r>
        <w:rPr>
          <w:color w:val="1B1524"/>
          <w:sz w:val="22"/>
          <w:szCs w:val="22"/>
        </w:rPr>
        <w:t xml:space="preserve">Target: reduce average emergency response time to 30 minutes or less nationwide by Year 3, directly cutting preventable deaths inside the Golden Hour for trauma, cardiac and maternal emergencies.</w:t>
      </w:r>
    </w:p>
    <w:p>
      <w:pPr>
        <w:pStyle w:val="Heading3"/>
        <w:spacing w:after="100" w:before="200"/>
      </w:pPr>
      <w:r>
        <w:rPr>
          <w:b/>
          <w:bCs/>
          <w:color w:val="3D1152"/>
        </w:rPr>
        <w:t xml:space="preserve">SDG 9 — Industry, Innovation and Infrastructure</w:t>
      </w:r>
    </w:p>
    <w:p>
      <w:pPr>
        <w:spacing w:after="160" w:line="276"/>
      </w:pPr>
      <w:r>
        <w:rPr>
          <w:color w:val="1B1524"/>
          <w:sz w:val="22"/>
          <w:szCs w:val="22"/>
        </w:rPr>
        <w:t xml:space="preserve">Target: an interoperable, cloud-native dispatch platform integrated with county and private health infrastructure, in active use in 15+ counties by Year 5 — treating emergency coordination as public digital infrastructure rather than a one-off app.</w:t>
      </w:r>
    </w:p>
    <w:p>
      <w:pPr>
        <w:pStyle w:val="Heading3"/>
        <w:spacing w:after="100" w:before="200"/>
      </w:pPr>
      <w:r>
        <w:rPr>
          <w:b/>
          <w:bCs/>
          <w:color w:val="3D1152"/>
        </w:rPr>
        <w:t xml:space="preserve">SDG 11 — Sustainable Cities and Communities</w:t>
      </w:r>
    </w:p>
    <w:p>
      <w:pPr>
        <w:spacing w:after="160" w:line="276"/>
      </w:pPr>
      <w:r>
        <w:rPr>
          <w:color w:val="1B1524"/>
          <w:sz w:val="22"/>
          <w:szCs w:val="22"/>
        </w:rPr>
        <w:t xml:space="preserve">Target: a combined public-private responder network of 500+ verified ambulance drivers and practitioners on duty, giving both urban and rural communities a functioning safety net rather than one concentrated in major cities.</w:t>
      </w:r>
    </w:p>
    <w:p>
      <w:r>
        <w:br w:type="page"/>
      </w:r>
    </w:p>
    <w:p>
      <w:pPr>
        <w:pStyle w:val="Heading1"/>
        <w:spacing w:after="200" w:before="320"/>
      </w:pPr>
      <w:r>
        <w:rPr>
          <w:color w:val="1E0830"/>
        </w:rPr>
        <w:t xml:space="preserve">11. Risks &amp; Mitigation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3D1152" w:val="clear"/>
            <w:tcMar>
              <w:top w:type="dxa" w:w="100"/>
              <w:left w:type="dxa" w:w="120"/>
              <w:bottom w:type="dxa" w:w="100"/>
              <w:right w:type="dxa" w:w="120"/>
            </w:tcMar>
            <w:vAlign w:val="center"/>
          </w:tcPr>
          <w:p>
            <w:pPr>
              <w:jc w:val="left"/>
            </w:pPr>
            <w:r>
              <w:rPr>
                <w:b/>
                <w:bCs/>
                <w:color w:val="FFFFFF"/>
                <w:sz w:val="20"/>
                <w:szCs w:val="20"/>
              </w:rPr>
              <w:t xml:space="preserve">Risk</w:t>
            </w:r>
          </w:p>
        </w:tc>
        <w:tc>
          <w:tcPr>
            <w:tcW w:type="dxa" w:w="5700"/>
            <w:shd w:fill="3D1152" w:val="clear"/>
            <w:tcMar>
              <w:top w:type="dxa" w:w="100"/>
              <w:left w:type="dxa" w:w="120"/>
              <w:bottom w:type="dxa" w:w="100"/>
              <w:right w:type="dxa" w:w="120"/>
            </w:tcMar>
            <w:vAlign w:val="center"/>
          </w:tcPr>
          <w:p>
            <w:pPr>
              <w:jc w:val="left"/>
            </w:pPr>
            <w:r>
              <w:rPr>
                <w:b/>
                <w:bCs/>
                <w:color w:val="FFFFFF"/>
                <w:sz w:val="20"/>
                <w:szCs w:val="20"/>
              </w:rPr>
              <w:t xml:space="preserve">Mitigation</w:t>
            </w:r>
          </w:p>
        </w:tc>
      </w:tr>
      <w:tr>
        <w:tc>
          <w:tcPr>
            <w:tcW w:type="dxa" w:w="3800"/>
            <w:tcMar>
              <w:top w:type="dxa" w:w="100"/>
              <w:left w:type="dxa" w:w="120"/>
              <w:bottom w:type="dxa" w:w="100"/>
              <w:right w:type="dxa" w:w="120"/>
            </w:tcMar>
            <w:vAlign w:val="center"/>
          </w:tcPr>
          <w:p>
            <w:pPr>
              <w:jc w:val="left"/>
            </w:pPr>
            <w:r>
              <w:rPr>
                <w:b w:val="false"/>
                <w:bCs w:val="false"/>
                <w:color w:val="1B1524"/>
                <w:sz w:val="20"/>
                <w:szCs w:val="20"/>
              </w:rPr>
              <w:t xml:space="preserve">Connectivity gaps in rural areas</w:t>
            </w:r>
          </w:p>
        </w:tc>
        <w:tc>
          <w:tcPr>
            <w:tcW w:type="dxa" w:w="5700"/>
            <w:tcMar>
              <w:top w:type="dxa" w:w="100"/>
              <w:left w:type="dxa" w:w="120"/>
              <w:bottom w:type="dxa" w:w="100"/>
              <w:right w:type="dxa" w:w="120"/>
            </w:tcMar>
            <w:vAlign w:val="center"/>
          </w:tcPr>
          <w:p>
            <w:pPr>
              <w:jc w:val="left"/>
            </w:pPr>
            <w:r>
              <w:rPr>
                <w:b w:val="false"/>
                <w:bCs w:val="false"/>
                <w:color w:val="1B1524"/>
                <w:sz w:val="20"/>
                <w:szCs w:val="20"/>
              </w:rPr>
              <w:t xml:space="preserve">The app always keeps a one-tap "Call 999" fallback on every screen; a USSD reporting channel is planned for feature-phone and low-connectivity users</w:t>
            </w:r>
          </w:p>
        </w:tc>
      </w:tr>
      <w:tr>
        <w:tc>
          <w:tcPr>
            <w:tcW w:type="dxa" w:w="3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Public network depends on grant/government funding</w:t>
            </w:r>
          </w:p>
        </w:tc>
        <w:tc>
          <w:tcPr>
            <w:tcW w:type="dxa" w:w="5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Private-subscription revenue is designed to reach operating break-even by Year 3, reducing dependence on any single funding cycle</w:t>
            </w:r>
          </w:p>
        </w:tc>
      </w:tr>
      <w:tr>
        <w:tc>
          <w:tcPr>
            <w:tcW w:type="dxa" w:w="3800"/>
            <w:tcMar>
              <w:top w:type="dxa" w:w="100"/>
              <w:left w:type="dxa" w:w="120"/>
              <w:bottom w:type="dxa" w:w="100"/>
              <w:right w:type="dxa" w:w="120"/>
            </w:tcMar>
            <w:vAlign w:val="center"/>
          </w:tcPr>
          <w:p>
            <w:pPr>
              <w:jc w:val="left"/>
            </w:pPr>
            <w:r>
              <w:rPr>
                <w:b w:val="false"/>
                <w:bCs w:val="false"/>
                <w:color w:val="1B1524"/>
                <w:sz w:val="20"/>
                <w:szCs w:val="20"/>
              </w:rPr>
              <w:t xml:space="preserve">Responder verification bottleneck or liability exposure</w:t>
            </w:r>
          </w:p>
        </w:tc>
        <w:tc>
          <w:tcPr>
            <w:tcW w:type="dxa" w:w="5700"/>
            <w:tcMar>
              <w:top w:type="dxa" w:w="100"/>
              <w:left w:type="dxa" w:w="120"/>
              <w:bottom w:type="dxa" w:w="100"/>
              <w:right w:type="dxa" w:w="120"/>
            </w:tcMar>
            <w:vAlign w:val="center"/>
          </w:tcPr>
          <w:p>
            <w:pPr>
              <w:jc w:val="left"/>
            </w:pPr>
            <w:r>
              <w:rPr>
                <w:b w:val="false"/>
                <w:bCs w:val="false"/>
                <w:color w:val="1B1524"/>
                <w:sz w:val="20"/>
                <w:szCs w:val="20"/>
              </w:rPr>
              <w:t xml:space="preserve">A structured pending/verified/rejected/suspended pipeline with recorded admin decisions keeps unverified people off the public network and creates an audit trail</w:t>
            </w:r>
          </w:p>
        </w:tc>
      </w:tr>
      <w:tr>
        <w:tc>
          <w:tcPr>
            <w:tcW w:type="dxa" w:w="3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Health and location data privacy</w:t>
            </w:r>
          </w:p>
        </w:tc>
        <w:tc>
          <w:tcPr>
            <w:tcW w:type="dxa" w:w="5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Data is collected only for active incident response and verification, in line with Kenya's Data Protection Act, 2019; compliance work is explicitly funded in this raise</w:t>
            </w:r>
          </w:p>
        </w:tc>
      </w:tr>
      <w:tr>
        <w:tc>
          <w:tcPr>
            <w:tcW w:type="dxa" w:w="3800"/>
            <w:tcMar>
              <w:top w:type="dxa" w:w="100"/>
              <w:left w:type="dxa" w:w="120"/>
              <w:bottom w:type="dxa" w:w="100"/>
              <w:right w:type="dxa" w:w="120"/>
            </w:tcMar>
            <w:vAlign w:val="center"/>
          </w:tcPr>
          <w:p>
            <w:pPr>
              <w:jc w:val="left"/>
            </w:pPr>
            <w:r>
              <w:rPr>
                <w:b w:val="false"/>
                <w:bCs w:val="false"/>
                <w:color w:val="1B1524"/>
                <w:sz w:val="20"/>
                <w:szCs w:val="20"/>
              </w:rPr>
              <w:t xml:space="preserve">Competition from an established, internationally backed player (Rescue.co/Flare)</w:t>
            </w:r>
          </w:p>
        </w:tc>
        <w:tc>
          <w:tcPr>
            <w:tcW w:type="dxa" w:w="5700"/>
            <w:tcMar>
              <w:top w:type="dxa" w:w="100"/>
              <w:left w:type="dxa" w:w="120"/>
              <w:bottom w:type="dxa" w:w="100"/>
              <w:right w:type="dxa" w:w="120"/>
            </w:tcMar>
            <w:vAlign w:val="center"/>
          </w:tcPr>
          <w:p>
            <w:pPr>
              <w:jc w:val="left"/>
            </w:pPr>
            <w:r>
              <w:rPr>
                <w:b w:val="false"/>
                <w:bCs w:val="false"/>
                <w:color w:val="1B1524"/>
                <w:sz w:val="20"/>
                <w:szCs w:val="20"/>
              </w:rPr>
              <w:t xml:space="preserve">eKonnect differentiates on a free public network plus multi-agency incident types (fire, flood, security), not ambulance dispatch alone</w:t>
            </w:r>
          </w:p>
        </w:tc>
      </w:tr>
      <w:tr>
        <w:tc>
          <w:tcPr>
            <w:tcW w:type="dxa" w:w="38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Payment integration risk (M-Pesa/Daraja dependency)</w:t>
            </w:r>
          </w:p>
        </w:tc>
        <w:tc>
          <w:tcPr>
            <w:tcW w:type="dxa" w:w="5700"/>
            <w:shd w:fill="F3EEF8" w:val="clear"/>
            <w:tcMar>
              <w:top w:type="dxa" w:w="100"/>
              <w:left w:type="dxa" w:w="120"/>
              <w:bottom w:type="dxa" w:w="100"/>
              <w:right w:type="dxa" w:w="120"/>
            </w:tcMar>
            <w:vAlign w:val="center"/>
          </w:tcPr>
          <w:p>
            <w:pPr>
              <w:jc w:val="left"/>
            </w:pPr>
            <w:r>
              <w:rPr>
                <w:b w:val="false"/>
                <w:bCs w:val="false"/>
                <w:color w:val="1B1524"/>
                <w:sz w:val="20"/>
                <w:szCs w:val="20"/>
              </w:rPr>
              <w:t xml:space="preserve">Public SOS functionality has no payment dependency at all; billing risk is isolated to the private-subscription revenue line only</w:t>
            </w:r>
          </w:p>
        </w:tc>
      </w:tr>
      <w:tr>
        <w:tc>
          <w:tcPr>
            <w:tcW w:type="dxa" w:w="3800"/>
            <w:tcMar>
              <w:top w:type="dxa" w:w="100"/>
              <w:left w:type="dxa" w:w="120"/>
              <w:bottom w:type="dxa" w:w="100"/>
              <w:right w:type="dxa" w:w="120"/>
            </w:tcMar>
            <w:vAlign w:val="center"/>
          </w:tcPr>
          <w:p>
            <w:pPr>
              <w:jc w:val="left"/>
            </w:pPr>
            <w:r>
              <w:rPr>
                <w:b w:val="false"/>
                <w:bCs w:val="false"/>
                <w:color w:val="1B1524"/>
                <w:sz w:val="20"/>
                <w:szCs w:val="20"/>
              </w:rPr>
              <w:t xml:space="preserve">AI triage reliability</w:t>
            </w:r>
          </w:p>
        </w:tc>
        <w:tc>
          <w:tcPr>
            <w:tcW w:type="dxa" w:w="5700"/>
            <w:tcMar>
              <w:top w:type="dxa" w:w="100"/>
              <w:left w:type="dxa" w:w="120"/>
              <w:bottom w:type="dxa" w:w="100"/>
              <w:right w:type="dxa" w:w="120"/>
            </w:tcMar>
            <w:vAlign w:val="center"/>
          </w:tcPr>
          <w:p>
            <w:pPr>
              <w:jc w:val="left"/>
            </w:pPr>
            <w:r>
              <w:rPr>
                <w:b w:val="false"/>
                <w:bCs w:val="false"/>
                <w:color w:val="1B1524"/>
                <w:sz w:val="20"/>
                <w:szCs w:val="20"/>
              </w:rPr>
              <w:t xml:space="preserve">The AI assists and never gatekeeps: any AI failure falls back to manual category selection, and low-confidence results are flagged for the caller to confirm</w:t>
            </w:r>
          </w:p>
        </w:tc>
      </w:tr>
    </w:tbl>
    <w:p>
      <w:r>
        <w:br w:type="page"/>
      </w:r>
    </w:p>
    <w:p>
      <w:pPr>
        <w:pStyle w:val="Heading1"/>
        <w:spacing w:after="200" w:before="320"/>
      </w:pPr>
      <w:r>
        <w:rPr>
          <w:color w:val="1E0830"/>
        </w:rPr>
        <w:t xml:space="preserve">12. Team</w:t>
      </w:r>
    </w:p>
    <w:p>
      <w:pPr>
        <w:pStyle w:val="ListParagraph"/>
        <w:numPr>
          <w:ilvl w:val="0"/>
          <w:numId w:val="2"/>
        </w:numPr>
        <w:spacing w:after="90"/>
      </w:pPr>
      <w:r>
        <w:rPr>
          <w:color w:val="1B1524"/>
          <w:sz w:val="22"/>
          <w:szCs w:val="22"/>
        </w:rPr>
        <w:t xml:space="preserve">Benard Phabian — Software Designer. Leads product and engineering across the Flutter mobile app and React admin dashboard.</w:t>
      </w:r>
    </w:p>
    <w:p>
      <w:pPr>
        <w:pStyle w:val="ListParagraph"/>
        <w:numPr>
          <w:ilvl w:val="0"/>
          <w:numId w:val="2"/>
        </w:numPr>
        <w:spacing w:after="90"/>
      </w:pPr>
      <w:r>
        <w:rPr>
          <w:color w:val="1B1524"/>
          <w:sz w:val="22"/>
          <w:szCs w:val="22"/>
        </w:rPr>
        <w:t xml:space="preserve">Januaris Kibet — Paramedic. Clinical and field-operations input on responder workflows.</w:t>
      </w:r>
    </w:p>
    <w:p>
      <w:pPr>
        <w:pStyle w:val="ListParagraph"/>
        <w:numPr>
          <w:ilvl w:val="0"/>
          <w:numId w:val="2"/>
        </w:numPr>
        <w:spacing w:after="90"/>
      </w:pPr>
      <w:r>
        <w:rPr>
          <w:color w:val="1B1524"/>
          <w:sz w:val="22"/>
          <w:szCs w:val="22"/>
        </w:rPr>
        <w:t xml:space="preserve">John Kyalo — Paramedic. Clinical and field-operations input on responder workflows.</w:t>
      </w:r>
    </w:p>
    <w:p>
      <w:pPr>
        <w:pStyle w:val="ListParagraph"/>
        <w:numPr>
          <w:ilvl w:val="0"/>
          <w:numId w:val="2"/>
        </w:numPr>
        <w:spacing w:after="90"/>
      </w:pPr>
      <w:r>
        <w:rPr>
          <w:color w:val="1B1524"/>
          <w:sz w:val="22"/>
          <w:szCs w:val="22"/>
        </w:rPr>
        <w:t xml:space="preserve">Milkah Albert — Healthcare Provider. Healthcare-system and patient-experience input.</w:t>
      </w:r>
    </w:p>
    <w:p>
      <w:pPr>
        <w:pStyle w:val="ListParagraph"/>
        <w:numPr>
          <w:ilvl w:val="0"/>
          <w:numId w:val="2"/>
        </w:numPr>
        <w:spacing w:after="90"/>
      </w:pPr>
      <w:r>
        <w:rPr>
          <w:color w:val="1B1524"/>
          <w:sz w:val="22"/>
          <w:szCs w:val="22"/>
        </w:rPr>
        <w:t xml:space="preserve">Dr Tecla Sum — Supervisor. Project oversight and advisory support.</w:t>
      </w:r>
    </w:p>
    <w:p>
      <w:r>
        <w:br w:type="page"/>
      </w:r>
    </w:p>
    <w:p>
      <w:pPr>
        <w:pStyle w:val="Heading1"/>
        <w:spacing w:after="200" w:before="320"/>
      </w:pPr>
      <w:r>
        <w:rPr>
          <w:color w:val="1E0830"/>
        </w:rPr>
        <w:t xml:space="preserve">13. The Ask</w:t>
      </w:r>
    </w:p>
    <w:p>
      <w:pPr>
        <w:spacing w:after="160" w:line="276"/>
      </w:pPr>
      <w:r>
        <w:rPr>
          <w:color w:val="1B1524"/>
          <w:sz w:val="22"/>
          <w:szCs w:val="22"/>
        </w:rPr>
        <w:t xml:space="preserve">eKonnect is asking for KSH 5.7 million to move from a working, pilot-ready product to a verified county launch — the single step that turns a well-built app into a functioning emergency-response network people can trust with their lives. The team is not asking anyone to bet on an idea; the patient app, responder app and admin dashboard already work today. What this raise buys is the infrastructure hardening, compliance, training and remaining integration work needed to put that product safely in front of a county's citizens, and the responders who will answer their call.</w:t>
      </w:r>
    </w:p>
    <w:p>
      <w:pPr>
        <w:spacing w:after="160" w:line="276"/>
      </w:pPr>
      <w:r>
        <w:rPr>
          <w:b/>
          <w:bCs/>
          <w:color w:val="1B1524"/>
          <w:sz w:val="22"/>
          <w:szCs w:val="22"/>
        </w:rPr>
        <w:t xml:space="preserve">Contact: Benard Phabian · Software Designer, eKonnect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675"/>
        <w:sz w:val="16"/>
        <w:szCs w:val="16"/>
      </w:rPr>
      <w:t xml:space="preserve">Page </w:t>
    </w:r>
    <w:r>
      <w:rPr>
        <w:color w:val="6B6675"/>
        <w:sz w:val="16"/>
        <w:szCs w:val="16"/>
      </w:rPr>
      <w:fldChar w:fldCharType="begin"/>
      <w:instrText xml:space="preserve">PAGE</w:instrText>
      <w:fldChar w:fldCharType="separate"/>
      <w:fldChar w:fldCharType="end"/>
    </w:r>
    <w:r>
      <w:rPr>
        <w:color w:val="6B6675"/>
        <w:sz w:val="16"/>
        <w:szCs w:val="16"/>
      </w:rPr>
      <w:t xml:space="preserve"> of </w:t>
    </w:r>
    <w:r>
      <w:rPr>
        <w:color w:val="6B66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675"/>
        <w:sz w:val="16"/>
        <w:szCs w:val="16"/>
      </w:rPr>
      <w:t xml:space="preserve">eKonnect — Concept Note &amp;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5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0830"/>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3D1152"/>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D11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eKonnect — Concept Note &amp; Business Plan</dc:title>
  <dc:creator>eKonnect</dc:creator>
  <cp:lastModifiedBy>Un-named</cp:lastModifiedBy>
  <cp:revision>1</cp:revision>
  <dcterms:created xsi:type="dcterms:W3CDTF">2026-08-08T14:08:42.019Z</dcterms:created>
  <dcterms:modified xsi:type="dcterms:W3CDTF">2026-08-08T14:08:42.020Z</dcterms:modified>
</cp:coreProperties>
</file>

<file path=docProps/custom.xml><?xml version="1.0" encoding="utf-8"?>
<Properties xmlns="http://schemas.openxmlformats.org/officeDocument/2006/custom-properties" xmlns:vt="http://schemas.openxmlformats.org/officeDocument/2006/docPropsVTypes"/>
</file>