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14605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jc w:val="left"/>
        <w:rPr>
          <w:sz w:val="68"/>
          <w:szCs w:val="68"/>
        </w:rPr>
      </w:pPr>
      <w:r w:rsidDel="00000000" w:rsidR="00000000" w:rsidRPr="00000000">
        <w:rPr>
          <w:sz w:val="68"/>
          <w:szCs w:val="68"/>
          <w:rtl w:val="0"/>
        </w:rPr>
        <w:t xml:space="preserve">Informe Final del Proyecto          — Protón Lab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1638300</wp:posOffset>
            </wp:positionH>
            <wp:positionV relativeFrom="paragraph">
              <wp:posOffset>230153</wp:posOffset>
            </wp:positionV>
            <wp:extent cx="2381250" cy="2305050"/>
            <wp:effectExtent b="0" l="0" r="0" t="0"/>
            <wp:wrapNone/>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381250" cy="2305050"/>
                    </a:xfrm>
                    <a:prstGeom prst="rect"/>
                    <a:ln/>
                  </pic:spPr>
                </pic:pic>
              </a:graphicData>
            </a:graphic>
          </wp:anchor>
        </w:drawing>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419877</wp:posOffset>
            </wp:positionV>
            <wp:extent cx="2219325" cy="2819400"/>
            <wp:effectExtent b="0" l="0" r="0" t="0"/>
            <wp:wrapNone/>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219325" cy="2819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4476750</wp:posOffset>
            </wp:positionH>
            <wp:positionV relativeFrom="paragraph">
              <wp:posOffset>419877</wp:posOffset>
            </wp:positionV>
            <wp:extent cx="2066925" cy="2819400"/>
            <wp:effectExtent b="0" l="0" r="0" t="0"/>
            <wp:wrapNone/>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066925" cy="2819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2076450</wp:posOffset>
            </wp:positionH>
            <wp:positionV relativeFrom="paragraph">
              <wp:posOffset>419100</wp:posOffset>
            </wp:positionV>
            <wp:extent cx="2066925" cy="2819477"/>
            <wp:effectExtent b="0" l="0" r="0" t="0"/>
            <wp:wrapNone/>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066925" cy="2819477"/>
                    </a:xfrm>
                    <a:prstGeom prst="rect"/>
                    <a:ln/>
                  </pic:spPr>
                </pic:pic>
              </a:graphicData>
            </a:graphic>
          </wp:anchor>
        </w:draw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300" w:lineRule="auto"/>
        <w:rPr>
          <w:b w:val="1"/>
          <w:bCs w:val="1"/>
        </w:rPr>
        <w:sectPr>
          <w:headerReference r:id="rId12" w:type="default"/>
          <w:pgSz w:h="15840" w:w="12240" w:orient="portrait"/>
          <w:pgMar w:bottom="1440" w:top="1440" w:left="1440" w:right="1440" w:header="0" w:footer="720"/>
          <w:pgNumType w:start="1"/>
        </w:sect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widowControl w:val="1"/>
        <w:spacing w:after="200" w:line="400" w:lineRule="auto"/>
        <w:ind w:left="0" w:firstLine="0"/>
        <w:rPr>
          <w:rFonts w:ascii="Arial Black" w:cs="Arial Black" w:eastAsia="Arial Black" w:hAnsi="Arial Black"/>
          <w:sz w:val="32"/>
          <w:szCs w:val="32"/>
        </w:rPr>
      </w:pPr>
      <w:r w:rsidDel="00000000" w:rsidR="00000000" w:rsidRPr="00000000">
        <w:rPr>
          <w:rFonts w:ascii="Arial Black" w:cs="Arial Black" w:eastAsia="Arial Black" w:hAnsi="Arial Black"/>
          <w:sz w:val="32"/>
          <w:szCs w:val="32"/>
          <w:rtl w:val="0"/>
        </w:rPr>
        <w:t xml:space="preserve">Tabla de Contenidos</w:t>
      </w:r>
    </w:p>
    <w:sdt>
      <w:sdtPr>
        <w:id w:val="1771787829"/>
        <w:docPartObj>
          <w:docPartGallery w:val="Table of Contents"/>
          <w:docPartUnique w:val="1"/>
        </w:docPartObj>
      </w:sdtPr>
      <w:sdtContent>
        <w:p w:rsidR="00000000" w:rsidDel="00000000" w:rsidP="00000000" w:rsidRDefault="00000000" w:rsidRPr="00000000" w14:paraId="0000000E">
          <w:pPr>
            <w:widowControl w:val="1"/>
            <w:tabs>
              <w:tab w:val="left" w:leader="none" w:pos="2160"/>
              <w:tab w:val="right" w:leader="none" w:pos="8280"/>
            </w:tabs>
            <w:spacing w:after="100" w:before="100" w:line="300" w:lineRule="auto"/>
            <w:ind w:left="1080" w:firstLine="0"/>
            <w:rPr>
              <w:rFonts w:ascii="Calibri" w:cs="Calibri" w:eastAsia="Calibri" w:hAnsi="Calibri"/>
              <w:sz w:val="24"/>
              <w:szCs w:val="24"/>
            </w:rPr>
          </w:pPr>
          <w:r w:rsidDel="00000000" w:rsidR="00000000" w:rsidRPr="00000000">
            <w:fldChar w:fldCharType="begin"/>
            <w:instrText xml:space="preserve"> TOC \h \u \z \t "Heading 1,1,Heading 2,2,Heading 3,3,"</w:instrText>
            <w:fldChar w:fldCharType="separate"/>
          </w:r>
          <w:hyperlink r:id="rId13">
            <w:r w:rsidDel="00000000" w:rsidR="00000000" w:rsidRPr="00000000">
              <w:rPr>
                <w:rFonts w:ascii="Calibri" w:cs="Calibri" w:eastAsia="Calibri" w:hAnsi="Calibri"/>
                <w:sz w:val="24"/>
                <w:szCs w:val="24"/>
                <w:rtl w:val="0"/>
              </w:rPr>
              <w:t xml:space="preserve">Introducción</w:t>
              <w:tab/>
            </w:r>
          </w:hyperlink>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0F">
          <w:pPr>
            <w:widowControl w:val="1"/>
            <w:tabs>
              <w:tab w:val="left" w:leader="none" w:pos="2160"/>
              <w:tab w:val="right" w:leader="none" w:pos="8280"/>
            </w:tabs>
            <w:spacing w:after="100" w:before="100" w:line="300" w:lineRule="auto"/>
            <w:ind w:left="1080" w:firstLine="0"/>
            <w:rPr>
              <w:rFonts w:ascii="Calibri" w:cs="Calibri" w:eastAsia="Calibri" w:hAnsi="Calibri"/>
              <w:sz w:val="24"/>
              <w:szCs w:val="24"/>
            </w:rPr>
          </w:pPr>
          <w:hyperlink r:id="rId14">
            <w:r w:rsidDel="00000000" w:rsidR="00000000" w:rsidRPr="00000000">
              <w:rPr>
                <w:rFonts w:ascii="Calibri" w:cs="Calibri" w:eastAsia="Calibri" w:hAnsi="Calibri"/>
                <w:sz w:val="24"/>
                <w:szCs w:val="24"/>
                <w:rtl w:val="0"/>
              </w:rPr>
              <w:t xml:space="preserve">Sección 1</w:t>
              <w:tab/>
              <w:t xml:space="preserve">Información General</w:t>
              <w:tab/>
            </w:r>
          </w:hyperlink>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10">
          <w:pPr>
            <w:widowControl w:val="1"/>
            <w:tabs>
              <w:tab w:val="left" w:leader="none" w:pos="2160"/>
              <w:tab w:val="right" w:leader="none" w:pos="8280"/>
            </w:tabs>
            <w:spacing w:after="100" w:before="100" w:line="300" w:lineRule="auto"/>
            <w:ind w:left="1080" w:firstLine="0"/>
            <w:rPr>
              <w:rFonts w:ascii="Calibri" w:cs="Calibri" w:eastAsia="Calibri" w:hAnsi="Calibri"/>
              <w:sz w:val="24"/>
              <w:szCs w:val="24"/>
            </w:rPr>
          </w:pPr>
          <w:hyperlink r:id="rId15">
            <w:r w:rsidDel="00000000" w:rsidR="00000000" w:rsidRPr="00000000">
              <w:rPr>
                <w:rFonts w:ascii="Calibri" w:cs="Calibri" w:eastAsia="Calibri" w:hAnsi="Calibri"/>
                <w:sz w:val="24"/>
                <w:szCs w:val="24"/>
                <w:rtl w:val="0"/>
              </w:rPr>
              <w:t xml:space="preserve">Sección 2</w:t>
              <w:tab/>
              <w:t xml:space="preserve">Lista de Verificación de Aceptación Final</w:t>
              <w:tab/>
            </w:r>
          </w:hyperlink>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11">
          <w:pPr>
            <w:widowControl w:val="1"/>
            <w:tabs>
              <w:tab w:val="left" w:leader="none" w:pos="2160"/>
              <w:tab w:val="right" w:leader="none" w:pos="8280"/>
            </w:tabs>
            <w:spacing w:after="100" w:before="100" w:line="300" w:lineRule="auto"/>
            <w:ind w:left="1080" w:firstLine="0"/>
            <w:rPr>
              <w:rFonts w:ascii="Calibri" w:cs="Calibri" w:eastAsia="Calibri" w:hAnsi="Calibri"/>
              <w:sz w:val="24"/>
              <w:szCs w:val="24"/>
            </w:rPr>
          </w:pPr>
          <w:hyperlink r:id="rId16">
            <w:r w:rsidDel="00000000" w:rsidR="00000000" w:rsidRPr="00000000">
              <w:rPr>
                <w:rFonts w:ascii="Calibri" w:cs="Calibri" w:eastAsia="Calibri" w:hAnsi="Calibri"/>
                <w:sz w:val="24"/>
                <w:szCs w:val="24"/>
                <w:rtl w:val="0"/>
              </w:rPr>
              <w:t xml:space="preserve">Sección 3</w:t>
              <w:tab/>
              <w:t xml:space="preserve">Lista de Verificación de los Artefactos del Proyecto</w:t>
              <w:tab/>
            </w:r>
          </w:hyperlink>
          <w:r w:rsidDel="00000000" w:rsidR="00000000" w:rsidRPr="00000000">
            <w:rPr>
              <w:rFonts w:ascii="Calibri" w:cs="Calibri" w:eastAsia="Calibri" w:hAnsi="Calibri"/>
              <w:sz w:val="24"/>
              <w:szCs w:val="24"/>
              <w:rtl w:val="0"/>
            </w:rPr>
            <w:t xml:space="preserve">4</w:t>
          </w:r>
        </w:p>
        <w:p w:rsidR="00000000" w:rsidDel="00000000" w:rsidP="00000000" w:rsidRDefault="00000000" w:rsidRPr="00000000" w14:paraId="00000012">
          <w:pPr>
            <w:widowControl w:val="1"/>
            <w:tabs>
              <w:tab w:val="left" w:leader="none" w:pos="2160"/>
              <w:tab w:val="right" w:leader="none" w:pos="8280"/>
            </w:tabs>
            <w:spacing w:after="100" w:before="100" w:line="300" w:lineRule="auto"/>
            <w:ind w:left="1080" w:firstLine="0"/>
            <w:rPr>
              <w:rFonts w:ascii="Calibri" w:cs="Calibri" w:eastAsia="Calibri" w:hAnsi="Calibri"/>
              <w:sz w:val="24"/>
              <w:szCs w:val="24"/>
            </w:rPr>
          </w:pPr>
          <w:hyperlink r:id="rId17">
            <w:r w:rsidDel="00000000" w:rsidR="00000000" w:rsidRPr="00000000">
              <w:rPr>
                <w:rFonts w:ascii="Calibri" w:cs="Calibri" w:eastAsia="Calibri" w:hAnsi="Calibri"/>
                <w:sz w:val="24"/>
                <w:szCs w:val="24"/>
                <w:rtl w:val="0"/>
              </w:rPr>
              <w:t xml:space="preserve">Sección 4</w:t>
              <w:tab/>
              <w:t xml:space="preserve">Recursos</w:t>
              <w:tab/>
            </w:r>
          </w:hyperlink>
          <w:r w:rsidDel="00000000" w:rsidR="00000000" w:rsidRPr="00000000">
            <w:rPr>
              <w:rFonts w:ascii="Calibri" w:cs="Calibri" w:eastAsia="Calibri" w:hAnsi="Calibri"/>
              <w:sz w:val="24"/>
              <w:szCs w:val="24"/>
              <w:rtl w:val="0"/>
            </w:rPr>
            <w:t xml:space="preserve">5</w:t>
          </w:r>
        </w:p>
        <w:p w:rsidR="00000000" w:rsidDel="00000000" w:rsidP="00000000" w:rsidRDefault="00000000" w:rsidRPr="00000000" w14:paraId="00000013">
          <w:pPr>
            <w:widowControl w:val="1"/>
            <w:tabs>
              <w:tab w:val="left" w:leader="none" w:pos="2160"/>
              <w:tab w:val="right" w:leader="none" w:pos="8280"/>
            </w:tabs>
            <w:spacing w:after="100" w:before="100" w:line="300" w:lineRule="auto"/>
            <w:ind w:left="1080" w:firstLine="0"/>
            <w:rPr>
              <w:rFonts w:ascii="Calibri" w:cs="Calibri" w:eastAsia="Calibri" w:hAnsi="Calibri"/>
              <w:sz w:val="24"/>
              <w:szCs w:val="24"/>
            </w:rPr>
          </w:pPr>
          <w:hyperlink r:id="rId18">
            <w:r w:rsidDel="00000000" w:rsidR="00000000" w:rsidRPr="00000000">
              <w:rPr>
                <w:rFonts w:ascii="Calibri" w:cs="Calibri" w:eastAsia="Calibri" w:hAnsi="Calibri"/>
                <w:sz w:val="24"/>
                <w:szCs w:val="24"/>
                <w:rtl w:val="0"/>
              </w:rPr>
              <w:t xml:space="preserve">Sección 5</w:t>
              <w:tab/>
              <w:t xml:space="preserve">Lecciones Aprendidas</w:t>
              <w:tab/>
            </w:r>
          </w:hyperlink>
          <w:r w:rsidDel="00000000" w:rsidR="00000000" w:rsidRPr="00000000">
            <w:rPr>
              <w:rFonts w:ascii="Calibri" w:cs="Calibri" w:eastAsia="Calibri" w:hAnsi="Calibri"/>
              <w:sz w:val="24"/>
              <w:szCs w:val="24"/>
              <w:rtl w:val="0"/>
            </w:rPr>
            <w:t xml:space="preserve">5</w:t>
          </w:r>
        </w:p>
        <w:p w:rsidR="00000000" w:rsidDel="00000000" w:rsidP="00000000" w:rsidRDefault="00000000" w:rsidRPr="00000000" w14:paraId="00000014">
          <w:pPr>
            <w:widowControl w:val="1"/>
            <w:tabs>
              <w:tab w:val="left" w:leader="none" w:pos="2160"/>
              <w:tab w:val="right" w:leader="none" w:pos="8280"/>
            </w:tabs>
            <w:spacing w:after="100" w:before="100" w:line="300" w:lineRule="auto"/>
            <w:ind w:left="1080" w:firstLine="0"/>
            <w:rPr>
              <w:rFonts w:ascii="Calibri" w:cs="Calibri" w:eastAsia="Calibri" w:hAnsi="Calibri"/>
              <w:sz w:val="24"/>
              <w:szCs w:val="24"/>
            </w:rPr>
          </w:pPr>
          <w:hyperlink r:id="rId19">
            <w:r w:rsidDel="00000000" w:rsidR="00000000" w:rsidRPr="00000000">
              <w:rPr>
                <w:rFonts w:ascii="Calibri" w:cs="Calibri" w:eastAsia="Calibri" w:hAnsi="Calibri"/>
                <w:sz w:val="24"/>
                <w:szCs w:val="24"/>
                <w:rtl w:val="0"/>
              </w:rPr>
              <w:t xml:space="preserve">Sección 6</w:t>
              <w:tab/>
              <w:t xml:space="preserve">Planes Post-Implantación</w:t>
              <w:tab/>
            </w:r>
          </w:hyperlink>
          <w:r w:rsidDel="00000000" w:rsidR="00000000" w:rsidRPr="00000000">
            <w:rPr>
              <w:rFonts w:ascii="Calibri" w:cs="Calibri" w:eastAsia="Calibri" w:hAnsi="Calibri"/>
              <w:sz w:val="24"/>
              <w:szCs w:val="24"/>
              <w:rtl w:val="0"/>
            </w:rPr>
            <w:t xml:space="preserve">5</w:t>
          </w:r>
        </w:p>
        <w:p w:rsidR="00000000" w:rsidDel="00000000" w:rsidP="00000000" w:rsidRDefault="00000000" w:rsidRPr="00000000" w14:paraId="00000015">
          <w:pPr>
            <w:widowControl w:val="1"/>
            <w:tabs>
              <w:tab w:val="left" w:leader="none" w:pos="2160"/>
              <w:tab w:val="right" w:leader="none" w:pos="8280"/>
            </w:tabs>
            <w:spacing w:after="100" w:before="100" w:line="300" w:lineRule="auto"/>
            <w:ind w:left="1080" w:firstLine="0"/>
            <w:rPr>
              <w:rFonts w:ascii="Calibri" w:cs="Calibri" w:eastAsia="Calibri" w:hAnsi="Calibri"/>
              <w:sz w:val="24"/>
              <w:szCs w:val="24"/>
            </w:rPr>
          </w:pPr>
          <w:hyperlink r:id="rId20">
            <w:r w:rsidDel="00000000" w:rsidR="00000000" w:rsidRPr="00000000">
              <w:rPr>
                <w:rFonts w:ascii="Calibri" w:cs="Calibri" w:eastAsia="Calibri" w:hAnsi="Calibri"/>
                <w:sz w:val="24"/>
                <w:szCs w:val="24"/>
                <w:rtl w:val="0"/>
              </w:rPr>
              <w:t xml:space="preserve">Sección 7</w:t>
              <w:tab/>
              <w:t xml:space="preserve">No Conformidades Abiertas</w:t>
              <w:tab/>
            </w:r>
          </w:hyperlink>
          <w:r w:rsidDel="00000000" w:rsidR="00000000" w:rsidRPr="00000000">
            <w:rPr>
              <w:rFonts w:ascii="Calibri" w:cs="Calibri" w:eastAsia="Calibri" w:hAnsi="Calibri"/>
              <w:sz w:val="24"/>
              <w:szCs w:val="24"/>
              <w:rtl w:val="0"/>
            </w:rPr>
            <w:t xml:space="preserve">6</w:t>
          </w:r>
        </w:p>
        <w:p w:rsidR="00000000" w:rsidDel="00000000" w:rsidP="00000000" w:rsidRDefault="00000000" w:rsidRPr="00000000" w14:paraId="00000016">
          <w:pPr>
            <w:widowControl w:val="1"/>
            <w:spacing w:after="200" w:line="300" w:lineRule="auto"/>
            <w:ind w:left="720" w:firstLine="0"/>
            <w:rPr>
              <w:rFonts w:ascii="Calibri" w:cs="Calibri" w:eastAsia="Calibri" w:hAnsi="Calibri"/>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widowControl w:val="1"/>
        <w:spacing w:after="200" w:line="300" w:lineRule="auto"/>
        <w:ind w:left="720" w:firstLine="0"/>
        <w:rPr/>
      </w:pPr>
      <w:r w:rsidDel="00000000" w:rsidR="00000000" w:rsidRPr="00000000">
        <w:rPr>
          <w:rtl w:val="0"/>
        </w:rPr>
      </w:r>
    </w:p>
    <w:p w:rsidR="00000000" w:rsidDel="00000000" w:rsidP="00000000" w:rsidRDefault="00000000" w:rsidRPr="00000000" w14:paraId="00000018">
      <w:pPr>
        <w:widowControl w:val="1"/>
        <w:spacing w:after="200" w:line="300" w:lineRule="auto"/>
        <w:ind w:left="720" w:firstLine="0"/>
        <w:rPr/>
      </w:pPr>
      <w:r w:rsidDel="00000000" w:rsidR="00000000" w:rsidRPr="00000000">
        <w:rPr>
          <w:rtl w:val="0"/>
        </w:rPr>
      </w:r>
    </w:p>
    <w:p w:rsidR="00000000" w:rsidDel="00000000" w:rsidP="00000000" w:rsidRDefault="00000000" w:rsidRPr="00000000" w14:paraId="00000019">
      <w:pPr>
        <w:widowControl w:val="1"/>
        <w:spacing w:after="200" w:line="300" w:lineRule="auto"/>
        <w:ind w:left="720" w:firstLine="0"/>
        <w:rPr/>
      </w:pPr>
      <w:r w:rsidDel="00000000" w:rsidR="00000000" w:rsidRPr="00000000">
        <w:rPr>
          <w:rtl w:val="0"/>
        </w:rPr>
      </w:r>
    </w:p>
    <w:p w:rsidR="00000000" w:rsidDel="00000000" w:rsidP="00000000" w:rsidRDefault="00000000" w:rsidRPr="00000000" w14:paraId="0000001A">
      <w:pPr>
        <w:widowControl w:val="1"/>
        <w:spacing w:after="200" w:line="300" w:lineRule="auto"/>
        <w:ind w:left="720" w:firstLine="0"/>
        <w:rPr/>
      </w:pPr>
      <w:r w:rsidDel="00000000" w:rsidR="00000000" w:rsidRPr="00000000">
        <w:rPr>
          <w:rtl w:val="0"/>
        </w:rPr>
      </w:r>
    </w:p>
    <w:p w:rsidR="00000000" w:rsidDel="00000000" w:rsidP="00000000" w:rsidRDefault="00000000" w:rsidRPr="00000000" w14:paraId="0000001B">
      <w:pPr>
        <w:widowControl w:val="1"/>
        <w:spacing w:after="200" w:line="300" w:lineRule="auto"/>
        <w:ind w:left="720" w:firstLine="0"/>
        <w:rPr/>
      </w:pPr>
      <w:r w:rsidDel="00000000" w:rsidR="00000000" w:rsidRPr="00000000">
        <w:rPr>
          <w:rtl w:val="0"/>
        </w:rPr>
      </w:r>
    </w:p>
    <w:p w:rsidR="00000000" w:rsidDel="00000000" w:rsidP="00000000" w:rsidRDefault="00000000" w:rsidRPr="00000000" w14:paraId="0000001C">
      <w:pPr>
        <w:widowControl w:val="1"/>
        <w:spacing w:after="200" w:line="300" w:lineRule="auto"/>
        <w:ind w:left="720" w:firstLine="0"/>
        <w:rPr/>
      </w:pPr>
      <w:r w:rsidDel="00000000" w:rsidR="00000000" w:rsidRPr="00000000">
        <w:rPr>
          <w:rtl w:val="0"/>
        </w:rPr>
      </w:r>
    </w:p>
    <w:p w:rsidR="00000000" w:rsidDel="00000000" w:rsidP="00000000" w:rsidRDefault="00000000" w:rsidRPr="00000000" w14:paraId="0000001D">
      <w:pPr>
        <w:widowControl w:val="1"/>
        <w:spacing w:after="200" w:line="300" w:lineRule="auto"/>
        <w:ind w:left="720" w:firstLine="0"/>
        <w:rPr/>
      </w:pPr>
      <w:r w:rsidDel="00000000" w:rsidR="00000000" w:rsidRPr="00000000">
        <w:rPr>
          <w:rtl w:val="0"/>
        </w:rPr>
      </w:r>
    </w:p>
    <w:p w:rsidR="00000000" w:rsidDel="00000000" w:rsidP="00000000" w:rsidRDefault="00000000" w:rsidRPr="00000000" w14:paraId="0000001E">
      <w:pPr>
        <w:widowControl w:val="1"/>
        <w:spacing w:after="200" w:line="300" w:lineRule="auto"/>
        <w:ind w:left="720" w:firstLine="0"/>
        <w:rPr/>
      </w:pPr>
      <w:r w:rsidDel="00000000" w:rsidR="00000000" w:rsidRPr="00000000">
        <w:rPr>
          <w:rtl w:val="0"/>
        </w:rPr>
      </w:r>
    </w:p>
    <w:p w:rsidR="00000000" w:rsidDel="00000000" w:rsidP="00000000" w:rsidRDefault="00000000" w:rsidRPr="00000000" w14:paraId="0000001F">
      <w:pPr>
        <w:widowControl w:val="1"/>
        <w:spacing w:after="200" w:line="300" w:lineRule="auto"/>
        <w:ind w:left="720" w:firstLine="0"/>
        <w:rPr/>
      </w:pPr>
      <w:r w:rsidDel="00000000" w:rsidR="00000000" w:rsidRPr="00000000">
        <w:rPr>
          <w:rtl w:val="0"/>
        </w:rPr>
      </w:r>
    </w:p>
    <w:p w:rsidR="00000000" w:rsidDel="00000000" w:rsidP="00000000" w:rsidRDefault="00000000" w:rsidRPr="00000000" w14:paraId="00000020">
      <w:pPr>
        <w:widowControl w:val="1"/>
        <w:spacing w:after="200" w:line="300" w:lineRule="auto"/>
        <w:ind w:left="720" w:firstLine="0"/>
        <w:rPr/>
      </w:pPr>
      <w:r w:rsidDel="00000000" w:rsidR="00000000" w:rsidRPr="00000000">
        <w:rPr>
          <w:rtl w:val="0"/>
        </w:rPr>
      </w:r>
    </w:p>
    <w:p w:rsidR="00000000" w:rsidDel="00000000" w:rsidP="00000000" w:rsidRDefault="00000000" w:rsidRPr="00000000" w14:paraId="00000021">
      <w:pPr>
        <w:widowControl w:val="1"/>
        <w:spacing w:after="200" w:line="300" w:lineRule="auto"/>
        <w:ind w:left="0" w:firstLine="0"/>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22">
      <w:pPr>
        <w:widowControl w:val="1"/>
        <w:spacing w:after="200" w:line="300" w:lineRule="auto"/>
        <w:ind w:left="720" w:firstLine="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Introducción y Uso del Informe de Cierre de Proyecto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30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documento formaliza el cierre estructurado y la culminación administrativa del proyecto Proton Lab. Las lecciones aprendidas, configuraciones de infraestructura y trazas históricas recopiladas actúan como base inmutable de conocimiento operativo para garantizar el mantenimiento continuo y promover la reutilización de componentes modulares de software en futuras etapas tecnológicas de la compañía.</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Sección 1: Información General (Actualizada 2026)</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objetivo principal de Proton Lab consiste en consolidar una plataforma corporativa en la nube estructurada bajo un enfoque dual: un canal robusto de comercio electrónico mayorista B2B (Business-to-Business) y un sistema interno de planificación de recursos empresariales (ERP) enfocado en la logística de distribución de insumos clínicos y de laboratorios. Para asegurar altos estándares de elasticidad, velocidad de cómputo y escalabilidad masiva concurrencia, se descartaron por completo las arquitecturas legadas y monolíticas previamente concebidas (Java, Tomcat, Visual C# y bases relacionales Oracle).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30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su lugar, el sistema fue desplegado empleando una arquitectura nativa en la nube (cloud-native) compuesta por un Frontend de alta velocidad en React compilado con Vite y una API Serverless distribuida montada sobre Next.js (v15) con TypeScript. El almacenamiento y persistencia de datos opera de manera distribuida y ágil mediante documentos optimizados en la base de datos NoSQL Cloud Firestore, delegando el resguardo y distribución global de archivos binarios pesados e imágenes del catálogo al ecosistema inmutable de Vercel Blob Store.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Sección 2: Lista de Verificación de Aceptación Final (Ecosistema Real)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certifica que los servicios y suministros técnicos del nuevo ecosistema han sido completados e </w:t>
      </w:r>
      <w:r w:rsidDel="00000000" w:rsidR="00000000" w:rsidRPr="00000000">
        <w:rPr>
          <w:rFonts w:ascii="Calibri" w:cs="Calibri" w:eastAsia="Calibri" w:hAnsi="Calibri"/>
          <w:sz w:val="24"/>
          <w:szCs w:val="24"/>
          <w:rtl w:val="0"/>
        </w:rPr>
        <w:t xml:space="preserve">implantados</w:t>
      </w:r>
      <w:r w:rsidDel="00000000" w:rsidR="00000000" w:rsidRPr="00000000">
        <w:rPr>
          <w:rFonts w:ascii="Calibri" w:cs="Calibri" w:eastAsia="Calibri" w:hAnsi="Calibri"/>
          <w:sz w:val="24"/>
          <w:szCs w:val="24"/>
          <w:rtl w:val="0"/>
        </w:rPr>
        <w:t xml:space="preserve"> satisfactoriamente en ambiente productivo:</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line="300" w:lineRule="auto"/>
        <w:ind w:left="1320" w:hanging="360"/>
        <w:jc w:val="both"/>
        <w:rPr>
          <w:sz w:val="24"/>
          <w:szCs w:val="24"/>
        </w:rPr>
      </w:pPr>
      <w:r w:rsidDel="00000000" w:rsidR="00000000" w:rsidRPr="00000000">
        <w:rPr>
          <w:rFonts w:ascii="Calibri" w:cs="Calibri" w:eastAsia="Calibri" w:hAnsi="Calibri"/>
          <w:sz w:val="24"/>
          <w:szCs w:val="24"/>
          <w:rtl w:val="0"/>
        </w:rPr>
        <w:t xml:space="preserve">[x] Módulo de Autenticación Criptográfica de Alta Seguridad: Integración exitosa de tokens verificables basados en Firebase Auth (remoción total de vulnerabilidades previas asociadas a Login Mock y almacenamiento desprotegido en localStorage).</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300" w:lineRule="auto"/>
        <w:ind w:left="1320" w:hanging="360"/>
        <w:jc w:val="both"/>
        <w:rPr>
          <w:sz w:val="24"/>
          <w:szCs w:val="24"/>
        </w:rPr>
      </w:pPr>
      <w:r w:rsidDel="00000000" w:rsidR="00000000" w:rsidRPr="00000000">
        <w:rPr>
          <w:rFonts w:ascii="Calibri" w:cs="Calibri" w:eastAsia="Calibri" w:hAnsi="Calibri"/>
          <w:sz w:val="24"/>
          <w:szCs w:val="24"/>
          <w:rtl w:val="0"/>
        </w:rPr>
        <w:t xml:space="preserve">[x] Catálogo Multimedia Inmutable CDN: Despliegue de tarjetas de productos con variantes dinámicas "primary" y "hover" conectadas eficientemente a la red global de entrega en el borde de Vercel Blob.</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300" w:lineRule="auto"/>
        <w:ind w:left="1320" w:hanging="360"/>
        <w:jc w:val="both"/>
        <w:rPr>
          <w:sz w:val="24"/>
          <w:szCs w:val="24"/>
        </w:rPr>
      </w:pPr>
      <w:r w:rsidDel="00000000" w:rsidR="00000000" w:rsidRPr="00000000">
        <w:rPr>
          <w:rFonts w:ascii="Calibri" w:cs="Calibri" w:eastAsia="Calibri" w:hAnsi="Calibri"/>
          <w:sz w:val="24"/>
          <w:szCs w:val="24"/>
          <w:rtl w:val="0"/>
        </w:rPr>
        <w:t xml:space="preserve">[x] Flujo Transaccional B2B Controlado: Lógica automatizada basada en una matriz de estados secuenciales e inmutables para Cotizaciones (quotes) y Órdenes de Pedido (orders).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300" w:lineRule="auto"/>
        <w:ind w:left="1320" w:hanging="360"/>
        <w:jc w:val="both"/>
        <w:rPr>
          <w:sz w:val="24"/>
          <w:szCs w:val="24"/>
        </w:rPr>
      </w:pPr>
      <w:r w:rsidDel="00000000" w:rsidR="00000000" w:rsidRPr="00000000">
        <w:rPr>
          <w:rFonts w:ascii="Calibri" w:cs="Calibri" w:eastAsia="Calibri" w:hAnsi="Calibri"/>
          <w:sz w:val="24"/>
          <w:szCs w:val="24"/>
          <w:rtl w:val="0"/>
        </w:rPr>
        <w:t xml:space="preserve">[x] Panel Analítico Cognitivo Soberano: Respuestas inteligentes a consultas operativas complejas de inventario provistas local y privadamente por el motor interno Ollama en la red física corporativa.</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300" w:lineRule="auto"/>
        <w:ind w:left="1320" w:hanging="360"/>
        <w:jc w:val="both"/>
        <w:rPr>
          <w:sz w:val="24"/>
          <w:szCs w:val="24"/>
        </w:rPr>
      </w:pPr>
      <w:r w:rsidDel="00000000" w:rsidR="00000000" w:rsidRPr="00000000">
        <w:rPr>
          <w:rFonts w:ascii="Calibri" w:cs="Calibri" w:eastAsia="Calibri" w:hAnsi="Calibri"/>
          <w:sz w:val="24"/>
          <w:szCs w:val="24"/>
          <w:rtl w:val="0"/>
        </w:rPr>
        <w:t xml:space="preserve">[x] Trazabilidad y Logs Inmutables: Auditoría automatizada de movimientos de almacén y alteraciones físicas de stock persistidas en la colección inmutable audit_logs.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Sección 3: Lista de Verificación de los Artefactos del Proyecto</w:t>
      </w:r>
    </w:p>
    <w:tbl>
      <w:tblPr>
        <w:tblStyle w:val="Table1"/>
        <w:tblW w:w="10500.0" w:type="dxa"/>
        <w:jc w:val="left"/>
        <w:tblInd w:w="-5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210"/>
        <w:gridCol w:w="4290"/>
        <w:tblGridChange w:id="0">
          <w:tblGrid>
            <w:gridCol w:w="6210"/>
            <w:gridCol w:w="429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Artefacto Requerido</w:t>
            </w:r>
          </w:p>
        </w:tc>
        <w:tc>
          <w:tcPr>
            <w:shd w:fill="f2f2f2" w:val="clear"/>
            <w:tcMar>
              <w:top w:w="90.0" w:type="dxa"/>
              <w:left w:w="90.0" w:type="dxa"/>
              <w:bottom w:w="90.0" w:type="dxa"/>
              <w:right w:w="9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Estado de Entrega</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Acta de Constitución de Proyecto</w:t>
            </w:r>
          </w:p>
        </w:tc>
        <w:tc>
          <w:tcPr>
            <w:shd w:fill="auto" w:val="clear"/>
            <w:tcMar>
              <w:top w:w="90.0" w:type="dxa"/>
              <w:left w:w="90.0" w:type="dxa"/>
              <w:bottom w:w="90.0" w:type="dxa"/>
              <w:right w:w="9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 de prueba </w:t>
            </w:r>
          </w:p>
        </w:tc>
        <w:tc>
          <w:tcPr>
            <w:shd w:fill="auto" w:val="clear"/>
            <w:tcMar>
              <w:top w:w="90.0" w:type="dxa"/>
              <w:left w:w="90.0" w:type="dxa"/>
              <w:bottom w:w="90.0" w:type="dxa"/>
              <w:right w:w="9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Arquitectura </w:t>
            </w:r>
          </w:p>
        </w:tc>
        <w:tc>
          <w:tcPr>
            <w:shd w:fill="auto" w:val="clear"/>
            <w:tcMar>
              <w:top w:w="90.0" w:type="dxa"/>
              <w:left w:w="90.0" w:type="dxa"/>
              <w:bottom w:w="90.0" w:type="dxa"/>
              <w:right w:w="9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Actividad</w:t>
            </w:r>
          </w:p>
        </w:tc>
        <w:tc>
          <w:tcPr>
            <w:shd w:fill="auto"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Componentes</w:t>
            </w:r>
          </w:p>
        </w:tc>
        <w:tc>
          <w:tcPr>
            <w:shd w:fill="auto" w:val="clear"/>
            <w:tcMar>
              <w:top w:w="90.0" w:type="dxa"/>
              <w:left w:w="90.0" w:type="dxa"/>
              <w:bottom w:w="90.0" w:type="dxa"/>
              <w:right w:w="9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Clases</w:t>
            </w:r>
          </w:p>
        </w:tc>
        <w:tc>
          <w:tcPr>
            <w:shd w:fill="auto" w:val="clear"/>
            <w:tcMar>
              <w:top w:w="90.0" w:type="dxa"/>
              <w:left w:w="90.0" w:type="dxa"/>
              <w:bottom w:w="90.0" w:type="dxa"/>
              <w:right w:w="9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Casos de Uso </w:t>
            </w:r>
          </w:p>
        </w:tc>
        <w:tc>
          <w:tcPr>
            <w:shd w:fill="auto" w:val="clear"/>
            <w:tcMar>
              <w:top w:w="90.0" w:type="dxa"/>
              <w:left w:w="90.0" w:type="dxa"/>
              <w:bottom w:w="90.0" w:type="dxa"/>
              <w:right w:w="9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Despliegue </w:t>
            </w:r>
          </w:p>
        </w:tc>
        <w:tc>
          <w:tcPr>
            <w:shd w:fill="auto" w:val="clear"/>
            <w:tcMar>
              <w:top w:w="90.0" w:type="dxa"/>
              <w:left w:w="90.0" w:type="dxa"/>
              <w:bottom w:w="90.0" w:type="dxa"/>
              <w:right w:w="9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Arbol de Desicion</w:t>
            </w:r>
          </w:p>
        </w:tc>
        <w:tc>
          <w:tcPr>
            <w:shd w:fill="auto" w:val="clear"/>
            <w:tcMar>
              <w:top w:w="90.0" w:type="dxa"/>
              <w:left w:w="90.0" w:type="dxa"/>
              <w:bottom w:w="90.0" w:type="dxa"/>
              <w:right w:w="9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Definición de Responsabilidades</w:t>
            </w:r>
          </w:p>
        </w:tc>
        <w:tc>
          <w:tcPr>
            <w:shd w:fill="auto" w:val="clear"/>
            <w:tcMar>
              <w:top w:w="90.0" w:type="dxa"/>
              <w:left w:w="90.0" w:type="dxa"/>
              <w:bottom w:w="90.0" w:type="dxa"/>
              <w:right w:w="9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 de Prueba Inicial</w:t>
            </w:r>
          </w:p>
        </w:tc>
        <w:tc>
          <w:tcPr>
            <w:shd w:fill="auto" w:val="clear"/>
            <w:tcMar>
              <w:top w:w="90.0" w:type="dxa"/>
              <w:left w:w="90.0" w:type="dxa"/>
              <w:bottom w:w="90.0" w:type="dxa"/>
              <w:right w:w="9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 de Proceso de Negocio</w:t>
            </w:r>
          </w:p>
        </w:tc>
        <w:tc>
          <w:tcPr>
            <w:shd w:fill="auto" w:val="clear"/>
            <w:tcMar>
              <w:top w:w="90.0" w:type="dxa"/>
              <w:left w:w="90.0" w:type="dxa"/>
              <w:bottom w:w="90.0" w:type="dxa"/>
              <w:right w:w="9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Documentos de Especificación de Requerimientos </w:t>
            </w:r>
          </w:p>
        </w:tc>
        <w:tc>
          <w:tcPr>
            <w:shd w:fill="auto" w:val="clear"/>
            <w:tcMar>
              <w:top w:w="90.0" w:type="dxa"/>
              <w:left w:w="90.0" w:type="dxa"/>
              <w:bottom w:w="90.0" w:type="dxa"/>
              <w:right w:w="9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Mockups interfaz de Sistemas Completos </w:t>
            </w:r>
          </w:p>
        </w:tc>
        <w:tc>
          <w:tcPr>
            <w:shd w:fill="auto" w:val="clear"/>
            <w:tcMar>
              <w:top w:w="90.0" w:type="dxa"/>
              <w:left w:w="90.0" w:type="dxa"/>
              <w:bottom w:w="90.0" w:type="dxa"/>
              <w:right w:w="90.0" w:type="dxa"/>
            </w:tcMar>
            <w:vAlign w:val="top"/>
          </w:tcPr>
          <w:p w:rsidR="00000000" w:rsidDel="00000000" w:rsidP="00000000" w:rsidRDefault="00000000" w:rsidRPr="00000000" w14:paraId="00000052">
            <w:pP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 E-R (Entidad Relación)</w:t>
            </w:r>
          </w:p>
        </w:tc>
        <w:tc>
          <w:tcPr>
            <w:shd w:fill="auto" w:val="clear"/>
            <w:tcMar>
              <w:top w:w="90.0" w:type="dxa"/>
              <w:left w:w="90.0" w:type="dxa"/>
              <w:bottom w:w="90.0" w:type="dxa"/>
              <w:right w:w="90.0" w:type="dxa"/>
            </w:tcMar>
            <w:vAlign w:val="top"/>
          </w:tcPr>
          <w:p w:rsidR="00000000" w:rsidDel="00000000" w:rsidP="00000000" w:rsidRDefault="00000000" w:rsidRPr="00000000" w14:paraId="00000054">
            <w:pP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 Relacional Normalizado </w:t>
            </w:r>
          </w:p>
        </w:tc>
        <w:tc>
          <w:tcPr>
            <w:shd w:fill="auto" w:val="clear"/>
            <w:tcMar>
              <w:top w:w="90.0" w:type="dxa"/>
              <w:left w:w="90.0" w:type="dxa"/>
              <w:bottom w:w="90.0" w:type="dxa"/>
              <w:right w:w="90.0" w:type="dxa"/>
            </w:tcMar>
            <w:vAlign w:val="top"/>
          </w:tcPr>
          <w:p w:rsidR="00000000" w:rsidDel="00000000" w:rsidP="00000000" w:rsidRDefault="00000000" w:rsidRPr="00000000" w14:paraId="00000056">
            <w:pP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Diccionario de Datos </w:t>
            </w:r>
          </w:p>
        </w:tc>
        <w:tc>
          <w:tcPr>
            <w:shd w:fill="auto" w:val="clear"/>
            <w:tcMar>
              <w:top w:w="90.0" w:type="dxa"/>
              <w:left w:w="90.0" w:type="dxa"/>
              <w:bottom w:w="90.0" w:type="dxa"/>
              <w:right w:w="90.0" w:type="dxa"/>
            </w:tcMar>
            <w:vAlign w:val="top"/>
          </w:tcPr>
          <w:p w:rsidR="00000000" w:rsidDel="00000000" w:rsidP="00000000" w:rsidRDefault="00000000" w:rsidRPr="00000000" w14:paraId="00000058">
            <w:pP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 de Costos </w:t>
            </w:r>
          </w:p>
        </w:tc>
        <w:tc>
          <w:tcPr>
            <w:shd w:fill="auto" w:val="clear"/>
            <w:tcMar>
              <w:top w:w="90.0" w:type="dxa"/>
              <w:left w:w="90.0" w:type="dxa"/>
              <w:bottom w:w="90.0" w:type="dxa"/>
              <w:right w:w="90.0" w:type="dxa"/>
            </w:tcMar>
            <w:vAlign w:val="top"/>
          </w:tcPr>
          <w:p w:rsidR="00000000" w:rsidDel="00000000" w:rsidP="00000000" w:rsidRDefault="00000000" w:rsidRPr="00000000" w14:paraId="0000005A">
            <w:pP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de Datos, Tablas ,Script para creación de Tablas</w:t>
            </w:r>
          </w:p>
        </w:tc>
        <w:tc>
          <w:tcPr>
            <w:shd w:fill="auto" w:val="clear"/>
            <w:tcMar>
              <w:top w:w="90.0" w:type="dxa"/>
              <w:left w:w="90.0" w:type="dxa"/>
              <w:bottom w:w="90.0" w:type="dxa"/>
              <w:right w:w="90.0" w:type="dxa"/>
            </w:tcMar>
            <w:vAlign w:val="top"/>
          </w:tcPr>
          <w:p w:rsidR="00000000" w:rsidDel="00000000" w:rsidP="00000000" w:rsidRDefault="00000000" w:rsidRPr="00000000" w14:paraId="0000005C">
            <w:pP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Minutas de Control del Proyecto</w:t>
            </w:r>
          </w:p>
        </w:tc>
        <w:tc>
          <w:tcPr>
            <w:shd w:fill="auto" w:val="clear"/>
            <w:tcMar>
              <w:top w:w="90.0" w:type="dxa"/>
              <w:left w:w="90.0" w:type="dxa"/>
              <w:bottom w:w="90.0" w:type="dxa"/>
              <w:right w:w="90.0" w:type="dxa"/>
            </w:tcMar>
            <w:vAlign w:val="top"/>
          </w:tcPr>
          <w:p w:rsidR="00000000" w:rsidDel="00000000" w:rsidP="00000000" w:rsidRDefault="00000000" w:rsidRPr="00000000" w14:paraId="0000005E">
            <w:pP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Verificación de Alcances</w:t>
            </w:r>
          </w:p>
        </w:tc>
        <w:tc>
          <w:tcPr>
            <w:shd w:fill="auto" w:val="clear"/>
            <w:tcMar>
              <w:top w:w="90.0" w:type="dxa"/>
              <w:left w:w="90.0" w:type="dxa"/>
              <w:bottom w:w="90.0" w:type="dxa"/>
              <w:right w:w="90.0" w:type="dxa"/>
            </w:tcMar>
            <w:vAlign w:val="top"/>
          </w:tcPr>
          <w:p w:rsidR="00000000" w:rsidDel="00000000" w:rsidP="00000000" w:rsidRDefault="00000000" w:rsidRPr="00000000" w14:paraId="00000060">
            <w:pP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 de Definicion e identificacion del proyecto</w:t>
            </w:r>
          </w:p>
        </w:tc>
        <w:tc>
          <w:tcPr>
            <w:shd w:fill="auto" w:val="clear"/>
            <w:tcMar>
              <w:top w:w="90.0" w:type="dxa"/>
              <w:left w:w="90.0" w:type="dxa"/>
              <w:bottom w:w="90.0" w:type="dxa"/>
              <w:right w:w="90.0" w:type="dxa"/>
            </w:tcMar>
            <w:vAlign w:val="top"/>
          </w:tcPr>
          <w:p w:rsidR="00000000" w:rsidDel="00000000" w:rsidP="00000000" w:rsidRDefault="00000000" w:rsidRPr="00000000" w14:paraId="00000062">
            <w:pP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Historias de Usuario </w:t>
            </w:r>
          </w:p>
        </w:tc>
        <w:tc>
          <w:tcPr>
            <w:shd w:fill="auto" w:val="clear"/>
            <w:tcMar>
              <w:top w:w="90.0" w:type="dxa"/>
              <w:left w:w="90.0" w:type="dxa"/>
              <w:bottom w:w="90.0" w:type="dxa"/>
              <w:right w:w="90.0" w:type="dxa"/>
            </w:tcMar>
            <w:vAlign w:val="top"/>
          </w:tcPr>
          <w:p w:rsidR="00000000" w:rsidDel="00000000" w:rsidP="00000000" w:rsidRDefault="00000000" w:rsidRPr="00000000" w14:paraId="00000064">
            <w:pP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 Maestro</w:t>
            </w:r>
          </w:p>
        </w:tc>
        <w:tc>
          <w:tcPr>
            <w:shd w:fill="auto" w:val="clear"/>
            <w:tcMar>
              <w:top w:w="90.0" w:type="dxa"/>
              <w:left w:w="90.0" w:type="dxa"/>
              <w:bottom w:w="90.0" w:type="dxa"/>
              <w:right w:w="90.0" w:type="dxa"/>
            </w:tcMar>
            <w:vAlign w:val="top"/>
          </w:tcPr>
          <w:p w:rsidR="00000000" w:rsidDel="00000000" w:rsidP="00000000" w:rsidRDefault="00000000" w:rsidRPr="00000000" w14:paraId="00000066">
            <w:pP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 Backlog</w:t>
            </w:r>
          </w:p>
        </w:tc>
        <w:tc>
          <w:tcPr>
            <w:shd w:fill="auto" w:val="clear"/>
            <w:tcMar>
              <w:top w:w="90.0" w:type="dxa"/>
              <w:left w:w="90.0" w:type="dxa"/>
              <w:bottom w:w="90.0" w:type="dxa"/>
              <w:right w:w="90.0" w:type="dxa"/>
            </w:tcMar>
            <w:vAlign w:val="top"/>
          </w:tcPr>
          <w:p w:rsidR="00000000" w:rsidDel="00000000" w:rsidP="00000000" w:rsidRDefault="00000000" w:rsidRPr="00000000" w14:paraId="00000068">
            <w:pP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Documento Avances de Sprints</w:t>
            </w:r>
          </w:p>
        </w:tc>
        <w:tc>
          <w:tcPr>
            <w:shd w:fill="auto" w:val="clear"/>
            <w:tcMar>
              <w:top w:w="90.0" w:type="dxa"/>
              <w:left w:w="90.0" w:type="dxa"/>
              <w:bottom w:w="90.0" w:type="dxa"/>
              <w:right w:w="90.0" w:type="dxa"/>
            </w:tcMar>
            <w:vAlign w:val="top"/>
          </w:tcPr>
          <w:p w:rsidR="00000000" w:rsidDel="00000000" w:rsidP="00000000" w:rsidRDefault="00000000" w:rsidRPr="00000000" w14:paraId="0000006A">
            <w:pP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Resumen Retrospectiva</w:t>
            </w:r>
          </w:p>
        </w:tc>
        <w:tc>
          <w:tcPr>
            <w:shd w:fill="auto" w:val="clear"/>
            <w:tcMar>
              <w:top w:w="90.0" w:type="dxa"/>
              <w:left w:w="90.0" w:type="dxa"/>
              <w:bottom w:w="90.0" w:type="dxa"/>
              <w:right w:w="90.0" w:type="dxa"/>
            </w:tcMar>
            <w:vAlign w:val="top"/>
          </w:tcPr>
          <w:p w:rsidR="00000000" w:rsidDel="00000000" w:rsidP="00000000" w:rsidRDefault="00000000" w:rsidRPr="00000000" w14:paraId="0000006C">
            <w:pP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Sprints Backlog</w:t>
            </w:r>
          </w:p>
        </w:tc>
        <w:tc>
          <w:tcPr>
            <w:shd w:fill="auto" w:val="clear"/>
            <w:tcMar>
              <w:top w:w="90.0" w:type="dxa"/>
              <w:left w:w="90.0" w:type="dxa"/>
              <w:bottom w:w="90.0" w:type="dxa"/>
              <w:right w:w="90.0" w:type="dxa"/>
            </w:tcMar>
            <w:vAlign w:val="top"/>
          </w:tcPr>
          <w:p w:rsidR="00000000" w:rsidDel="00000000" w:rsidP="00000000" w:rsidRDefault="00000000" w:rsidRPr="00000000" w14:paraId="0000006E">
            <w:pP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Avance del Sistema</w:t>
            </w:r>
          </w:p>
        </w:tc>
        <w:tc>
          <w:tcPr>
            <w:shd w:fill="auto" w:val="clear"/>
            <w:tcMar>
              <w:top w:w="90.0" w:type="dxa"/>
              <w:left w:w="90.0" w:type="dxa"/>
              <w:bottom w:w="90.0" w:type="dxa"/>
              <w:right w:w="90.0" w:type="dxa"/>
            </w:tcMar>
            <w:vAlign w:val="top"/>
          </w:tcPr>
          <w:p w:rsidR="00000000" w:rsidDel="00000000" w:rsidP="00000000" w:rsidRDefault="00000000" w:rsidRPr="00000000" w14:paraId="00000070">
            <w:pP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 De Usuario </w:t>
            </w:r>
          </w:p>
        </w:tc>
        <w:tc>
          <w:tcPr>
            <w:shd w:fill="auto" w:val="clear"/>
            <w:tcMar>
              <w:top w:w="90.0" w:type="dxa"/>
              <w:left w:w="90.0" w:type="dxa"/>
              <w:bottom w:w="90.0" w:type="dxa"/>
              <w:right w:w="90.0" w:type="dxa"/>
            </w:tcMar>
            <w:vAlign w:val="top"/>
          </w:tcPr>
          <w:p w:rsidR="00000000" w:rsidDel="00000000" w:rsidP="00000000" w:rsidRDefault="00000000" w:rsidRPr="00000000" w14:paraId="00000072">
            <w:pP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Verificación de Alcances </w:t>
            </w:r>
          </w:p>
        </w:tc>
        <w:tc>
          <w:tcPr>
            <w:shd w:fill="auto" w:val="clear"/>
            <w:tcMar>
              <w:top w:w="90.0" w:type="dxa"/>
              <w:left w:w="90.0" w:type="dxa"/>
              <w:bottom w:w="90.0" w:type="dxa"/>
              <w:right w:w="90.0" w:type="dxa"/>
            </w:tcMar>
            <w:vAlign w:val="top"/>
          </w:tcPr>
          <w:p w:rsidR="00000000" w:rsidDel="00000000" w:rsidP="00000000" w:rsidRDefault="00000000" w:rsidRPr="00000000" w14:paraId="00000074">
            <w:pP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Informe de Cierre de Proyecto </w:t>
            </w:r>
          </w:p>
        </w:tc>
        <w:tc>
          <w:tcPr>
            <w:shd w:fill="auto" w:val="clear"/>
            <w:tcMar>
              <w:top w:w="90.0" w:type="dxa"/>
              <w:left w:w="90.0" w:type="dxa"/>
              <w:bottom w:w="90.0" w:type="dxa"/>
              <w:right w:w="90.0" w:type="dxa"/>
            </w:tcMar>
            <w:vAlign w:val="top"/>
          </w:tcPr>
          <w:p w:rsidR="00000000" w:rsidDel="00000000" w:rsidP="00000000" w:rsidRDefault="00000000" w:rsidRPr="00000000" w14:paraId="00000076">
            <w:pP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Finalizado</w:t>
            </w:r>
          </w:p>
        </w:tc>
      </w:tr>
    </w:tbl>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jc w:val="both"/>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Sección 4: Recursos Post-Implantación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25" w:line="30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respaldar la continuidad de la plataforma, las operaciones técnicas post-implantación serán ejecutadas mediante un contrato formal corporativo provisto de Acuerdos de Nivel de Servicio (SLAs) rigurosos. Se mantendrán asignados de forma exclusiva un Analista de Infraestructura Cloud y un Desarrollador Full-Stack para mitigar contingencias y resolver incidencias urgentes en entornos productivos.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25" w:line="30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Sección 5: Lecciones Aprendidas (Evolución Tecnológica)</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line="300" w:lineRule="auto"/>
        <w:ind w:left="1320" w:hanging="360"/>
        <w:jc w:val="both"/>
        <w:rPr>
          <w:sz w:val="24"/>
          <w:szCs w:val="24"/>
        </w:rPr>
      </w:pPr>
      <w:r w:rsidDel="00000000" w:rsidR="00000000" w:rsidRPr="00000000">
        <w:rPr>
          <w:rFonts w:ascii="Calibri" w:cs="Calibri" w:eastAsia="Calibri" w:hAnsi="Calibri"/>
          <w:sz w:val="24"/>
          <w:szCs w:val="24"/>
          <w:rtl w:val="0"/>
        </w:rPr>
        <w:t xml:space="preserve">Mentalidad NoSQL y Desnormalización Controlada: Se asimiló que en las bases de datos orientadas a documentos como Firestore, la prioridad absoluta radica en la velocidad de lectura de cara al usuario final. Al duplicar intencionalmente metadatos de productos dentro de carritos y cotizaciones (snapshots históricos), se eliminaron los costosos procesos relacionales JOIN virtuales, abatiendo la latencia y reduciendo drásticamente los costos de consumo en la nube.</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line="300" w:lineRule="auto"/>
        <w:ind w:left="1320" w:hanging="360"/>
        <w:jc w:val="both"/>
        <w:rPr>
          <w:sz w:val="24"/>
          <w:szCs w:val="24"/>
        </w:rPr>
      </w:pPr>
      <w:r w:rsidDel="00000000" w:rsidR="00000000" w:rsidRPr="00000000">
        <w:rPr>
          <w:rFonts w:ascii="Calibri" w:cs="Calibri" w:eastAsia="Calibri" w:hAnsi="Calibri"/>
          <w:sz w:val="24"/>
          <w:szCs w:val="24"/>
          <w:rtl w:val="0"/>
        </w:rPr>
        <w:t xml:space="preserve">Soberanía de Datos y Privacidad en Inteligencia Artificial: La integración exitosa del framework local Ollama demostró la viabilidad de equipar al negocio con herramientas de auditoría cognitiva sumamente avanzadas sin requerir el envío de información confidencial financiera e inventarios a APIs externas de terceros. Mantener el procesamiento de los LLM desconectado de internet resguarda el secreto comercial y elimina la dependencia de costosas tarifas por uso o suscripciones corporativas de IA.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Sección 6: Planes Post-Implantación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25" w:line="30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establece de forma oficial un periodo de marcha blanca operativa con una duración de 30 días continuos. Durante este lapso, se auditará el crecimiento de la base de datos Firestore y el comportamiento de las funciones Serverless en Vercel, estructurando políticas específicas para el ciclo de vida de los datos con el objetivo de evitar degradaciones de rendimiento técnico en el largo plazo.</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Rule="auto"/>
        <w:jc w:val="both"/>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0" w:lineRule="auto"/>
        <w:jc w:val="both"/>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Rule="auto"/>
        <w:jc w:val="both"/>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Sección 7: No Conformidades Abiertas (Deuda Técnica)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0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formaliza el registro de las siguientes funcionalidades excluidas del núcleo del despliegue básico actual, las cuales deberán ser planificadas, costeadas e integradas de forma nativa en fases e iteraciones futuras del desarrollo corporativo:</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line="300" w:lineRule="auto"/>
        <w:ind w:left="1320" w:hanging="360"/>
        <w:jc w:val="both"/>
        <w:rPr>
          <w:sz w:val="24"/>
          <w:szCs w:val="24"/>
        </w:rPr>
      </w:pPr>
      <w:r w:rsidDel="00000000" w:rsidR="00000000" w:rsidRPr="00000000">
        <w:rPr>
          <w:rFonts w:ascii="Calibri" w:cs="Calibri" w:eastAsia="Calibri" w:hAnsi="Calibri"/>
          <w:sz w:val="24"/>
          <w:szCs w:val="24"/>
          <w:rtl w:val="0"/>
        </w:rPr>
        <w:t xml:space="preserve">Módulo Analítico Visual: Creación de tableros de control con reportes gráficos interactivos de ventas consolidadas destinados al perfil de Administrador.</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line="300" w:lineRule="auto"/>
        <w:ind w:left="1320" w:hanging="360"/>
        <w:jc w:val="both"/>
        <w:rPr>
          <w:sz w:val="24"/>
          <w:szCs w:val="24"/>
        </w:rPr>
      </w:pPr>
      <w:r w:rsidDel="00000000" w:rsidR="00000000" w:rsidRPr="00000000">
        <w:rPr>
          <w:rFonts w:ascii="Calibri" w:cs="Calibri" w:eastAsia="Calibri" w:hAnsi="Calibri"/>
          <w:sz w:val="24"/>
          <w:szCs w:val="24"/>
          <w:rtl w:val="0"/>
        </w:rPr>
        <w:t xml:space="preserve">Pasarela de Pagos Automatizada: Integración de APIs financieras electrónicas de recaudación automatizada (reemplazando la validación e inspección puramente manual actual por parte del administrador).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line="300" w:lineRule="auto"/>
        <w:ind w:left="1320" w:hanging="360"/>
        <w:jc w:val="both"/>
        <w:rPr>
          <w:sz w:val="24"/>
          <w:szCs w:val="24"/>
        </w:rPr>
      </w:pPr>
      <w:r w:rsidDel="00000000" w:rsidR="00000000" w:rsidRPr="00000000">
        <w:rPr>
          <w:rFonts w:ascii="Calibri" w:cs="Calibri" w:eastAsia="Calibri" w:hAnsi="Calibri"/>
          <w:sz w:val="24"/>
          <w:szCs w:val="24"/>
          <w:rtl w:val="0"/>
        </w:rPr>
        <w:t xml:space="preserve">Selección Geográfica Manual Avanzada: Desarrollo de una interfaz cartográfica detallada para que el cliente modifique de forma manual su ubicación logística específica por cuadrantes geográficos (actualmente el sistema opera únicamente mediante geolocalización automatizada o con cobertura uniforme a escala nacional).</w:t>
      </w:r>
    </w:p>
    <w:sectPr>
      <w:type w:val="continuous"/>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Black">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3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720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3EVNWGMW77hPQxoE8JjaINeO8NZlKEB1/edit#heading=h.8g76v87yjjlw" TargetMode="External"/><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yperlink" Target="https://docs.google.com/document/d/13EVNWGMW77hPQxoE8JjaINeO8NZlKEB1/edit#heading=h.mdu6dg6rjgeh" TargetMode="Externa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cs.google.com/document/d/13EVNWGMW77hPQxoE8JjaINeO8NZlKEB1/edit#heading=h.8huucrxcm6c0" TargetMode="External"/><Relationship Id="rId14" Type="http://schemas.openxmlformats.org/officeDocument/2006/relationships/hyperlink" Target="https://docs.google.com/document/d/13EVNWGMW77hPQxoE8JjaINeO8NZlKEB1/edit#heading=h.7i8nuqk8ng19" TargetMode="External"/><Relationship Id="rId17" Type="http://schemas.openxmlformats.org/officeDocument/2006/relationships/hyperlink" Target="https://docs.google.com/document/d/13EVNWGMW77hPQxoE8JjaINeO8NZlKEB1/edit#heading=h.tybwakrfk6j2" TargetMode="External"/><Relationship Id="rId16" Type="http://schemas.openxmlformats.org/officeDocument/2006/relationships/hyperlink" Target="https://docs.google.com/document/d/13EVNWGMW77hPQxoE8JjaINeO8NZlKEB1/edit#heading=h.u8m2loe8uktn" TargetMode="External"/><Relationship Id="rId5" Type="http://schemas.openxmlformats.org/officeDocument/2006/relationships/styles" Target="styles.xml"/><Relationship Id="rId19" Type="http://schemas.openxmlformats.org/officeDocument/2006/relationships/hyperlink" Target="https://docs.google.com/document/d/13EVNWGMW77hPQxoE8JjaINeO8NZlKEB1/edit#heading=h.6lokau21m258" TargetMode="External"/><Relationship Id="rId6" Type="http://schemas.openxmlformats.org/officeDocument/2006/relationships/customXml" Target="../customXML/item1.xml"/><Relationship Id="rId18" Type="http://schemas.openxmlformats.org/officeDocument/2006/relationships/hyperlink" Target="https://docs.google.com/document/d/13EVNWGMW77hPQxoE8JjaINeO8NZlKEB1/edit#heading=h.f5d9ggc8f6kc"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5mW87puiYDNrNAfMtG74IXHoJQ==">CgMxLjA4AHIhMWdxcHAzcjBPYUR5TmYzN04zd0NGYlpMdUFBQlBpQW92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