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9D307E">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Style w:val="12"/>
          <w:rFonts w:hint="default" w:ascii="Times New Roman" w:hAnsi="Times New Roman" w:eastAsia="Segoe UI" w:cs="Times New Roman"/>
          <w:b/>
          <w:bCs/>
          <w:i w:val="0"/>
          <w:iCs w:val="0"/>
          <w:caps w:val="0"/>
          <w:color w:val="0F1115"/>
          <w:spacing w:val="0"/>
          <w:sz w:val="24"/>
          <w:szCs w:val="24"/>
          <w:shd w:val="clear" w:fill="FFFFFF"/>
        </w:rPr>
      </w:pPr>
      <w:r>
        <w:rPr>
          <w:rStyle w:val="12"/>
          <w:rFonts w:hint="default" w:ascii="Times New Roman" w:hAnsi="Times New Roman" w:eastAsia="Segoe UI" w:cs="Times New Roman"/>
          <w:b/>
          <w:bCs/>
          <w:i w:val="0"/>
          <w:iCs w:val="0"/>
          <w:caps w:val="0"/>
          <w:color w:val="0F1115"/>
          <w:spacing w:val="0"/>
          <w:sz w:val="24"/>
          <w:szCs w:val="24"/>
          <w:shd w:val="clear" w:fill="FFFFFF"/>
        </w:rPr>
        <w:t>Risk Assessment Based on the Coupling of Public Health Disaster Hazard and Urban Vulnerability</w:t>
      </w:r>
    </w:p>
    <w:p w14:paraId="52C62F8E">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Public health disasters (such as infectious disease outbreaks) pose a serious threat to urban systems. The level of risk depends not only on the transmission intensity of the disaster itself but is also closely linked to the vulnerability of the urban system. Traditional risk assessments often rely on unidirectional linear analyses, overlooking the bidirectional coupling mechanism between disasters and vulnerability. This leads to incomplete risk identification and poorly targeted intervention measures. Constructing a risk model capable of systematically characterizing the "hazard-vulnerability" coupling relationship is of great significance for enhancing urban public health risk governance capabilities and promoting the development of resilient cities.</w:t>
      </w:r>
    </w:p>
    <w:p w14:paraId="2C2E14B3">
      <w:pPr>
        <w:keepNext w:val="0"/>
        <w:keepLines w:val="0"/>
        <w:pageBreakBefore w:val="0"/>
        <w:widowControl w:val="0"/>
        <w:kinsoku/>
        <w:wordWrap/>
        <w:overflowPunct/>
        <w:topLinePunct w:val="0"/>
        <w:autoSpaceDE/>
        <w:autoSpaceDN/>
        <w:bidi w:val="0"/>
        <w:adjustRightInd/>
        <w:snapToGrid/>
        <w:spacing w:line="240" w:lineRule="auto"/>
        <w:ind w:firstLine="240" w:firstLineChars="100"/>
        <w:textAlignment w:val="auto"/>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The appendix provides indicators for public health disaster hazard and urban vulnerability across 18 prefecture-level cities, covering multiple dimensions such as demographic characteristics, population agglomeration, population mobility, environmental factors, spatial structure, socioeconomic conditions</w:t>
      </w:r>
      <w:r>
        <w:rPr>
          <w:rFonts w:hint="eastAsia" w:ascii="Times New Roman" w:hAnsi="Times New Roman" w:eastAsia="宋体" w:cs="Times New Roman"/>
          <w:i w:val="0"/>
          <w:iCs w:val="0"/>
          <w:caps w:val="0"/>
          <w:color w:val="0F1115"/>
          <w:spacing w:val="0"/>
          <w:sz w:val="24"/>
          <w:szCs w:val="24"/>
          <w:shd w:val="clear" w:fill="FFFFFF"/>
          <w:lang w:val="en-US" w:eastAsia="zh-CN"/>
        </w:rPr>
        <w:t xml:space="preserve"> and so on</w:t>
      </w:r>
      <w:r>
        <w:rPr>
          <w:rFonts w:hint="default" w:ascii="Times New Roman" w:hAnsi="Times New Roman" w:eastAsia="Segoe UI" w:cs="Times New Roman"/>
          <w:i w:val="0"/>
          <w:iCs w:val="0"/>
          <w:caps w:val="0"/>
          <w:color w:val="0F1115"/>
          <w:spacing w:val="0"/>
          <w:sz w:val="24"/>
          <w:szCs w:val="24"/>
          <w:shd w:val="clear" w:fill="FFFFFF"/>
        </w:rPr>
        <w:t>. Based on th</w:t>
      </w:r>
      <w:r>
        <w:rPr>
          <w:rFonts w:hint="eastAsia" w:ascii="Times New Roman" w:hAnsi="Times New Roman" w:eastAsia="宋体" w:cs="Times New Roman"/>
          <w:i w:val="0"/>
          <w:iCs w:val="0"/>
          <w:caps w:val="0"/>
          <w:color w:val="0F1115"/>
          <w:spacing w:val="0"/>
          <w:sz w:val="24"/>
          <w:szCs w:val="24"/>
          <w:shd w:val="clear" w:fill="FFFFFF"/>
          <w:lang w:val="en-US" w:eastAsia="zh-CN"/>
        </w:rPr>
        <w:t>ese</w:t>
      </w:r>
      <w:r>
        <w:rPr>
          <w:rFonts w:hint="default" w:ascii="Times New Roman" w:hAnsi="Times New Roman" w:eastAsia="Segoe UI" w:cs="Times New Roman"/>
          <w:i w:val="0"/>
          <w:iCs w:val="0"/>
          <w:caps w:val="0"/>
          <w:color w:val="0F1115"/>
          <w:spacing w:val="0"/>
          <w:sz w:val="24"/>
          <w:szCs w:val="24"/>
          <w:shd w:val="clear" w:fill="FFFFFF"/>
        </w:rPr>
        <w:t xml:space="preserve"> data, a multi-dimensional and dynamic coupling assessment model for public health risk was constructed. Through empirical analysis, the study reveals the synergistic evolution mechanism between the two and provides a scientific basis for differentiated prevention and control strategies.</w:t>
      </w:r>
    </w:p>
    <w:p w14:paraId="7982F92F">
      <w:pPr>
        <w:keepNext w:val="0"/>
        <w:keepLines w:val="0"/>
        <w:pageBreakBefore w:val="0"/>
        <w:widowControl w:val="0"/>
        <w:numPr>
          <w:ilvl w:val="0"/>
          <w:numId w:val="1"/>
        </w:numPr>
        <w:kinsoku/>
        <w:wordWrap/>
        <w:overflowPunct/>
        <w:topLinePunct w:val="0"/>
        <w:autoSpaceDE/>
        <w:autoSpaceDN/>
        <w:bidi w:val="0"/>
        <w:adjustRightInd/>
        <w:snapToGrid/>
        <w:spacing w:line="240" w:lineRule="auto"/>
        <w:ind w:firstLine="240" w:firstLineChars="100"/>
        <w:textAlignment w:val="auto"/>
        <w:rPr>
          <w:rFonts w:hint="eastAsia"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Design hazard indicators and urban vulnerability indicators</w:t>
      </w:r>
      <w:r>
        <w:rPr>
          <w:rFonts w:hint="eastAsia" w:ascii="Times New Roman" w:hAnsi="Times New Roman" w:eastAsia="宋体" w:cs="Times New Roman"/>
          <w:i w:val="0"/>
          <w:iCs w:val="0"/>
          <w:caps w:val="0"/>
          <w:color w:val="0F1115"/>
          <w:spacing w:val="0"/>
          <w:sz w:val="24"/>
          <w:szCs w:val="24"/>
          <w:shd w:val="clear" w:fill="FFFFFF"/>
          <w:lang w:val="en-US" w:eastAsia="zh-CN"/>
        </w:rPr>
        <w:t>. Based on this</w:t>
      </w:r>
      <w:r>
        <w:rPr>
          <w:rFonts w:hint="default" w:ascii="Times New Roman" w:hAnsi="Times New Roman" w:eastAsia="Segoe UI" w:cs="Times New Roman"/>
          <w:i w:val="0"/>
          <w:iCs w:val="0"/>
          <w:caps w:val="0"/>
          <w:color w:val="0F1115"/>
          <w:spacing w:val="0"/>
          <w:sz w:val="24"/>
          <w:szCs w:val="24"/>
          <w:shd w:val="clear" w:fill="FFFFFF"/>
        </w:rPr>
        <w:t>, construct a coupling characteristic database.</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Note: Hazard indicators can be selected from dimensions such as demographic characteristics, agglomeration level, mobility intensity, and environmental exposure, with representative examples including the elderly population ratio, population density, public transportation density, PM2.5 concentration, etc. Urban vulnerability indicators are selected from three dimensions: spatial, economic, and social, with representative examples including residential density, medical resources, social security coverage rate, unemployment rate, etc.</w:t>
      </w:r>
    </w:p>
    <w:p w14:paraId="4D2484AC">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firstLine="240" w:firstLineChars="100"/>
        <w:textAlignment w:val="auto"/>
        <w:rPr>
          <w:rFonts w:hint="eastAsia" w:ascii="Times New Roman" w:hAnsi="Times New Roman" w:eastAsia="Segoe UI" w:cs="Times New Roman"/>
          <w:i w:val="0"/>
          <w:iCs w:val="0"/>
          <w:caps w:val="0"/>
          <w:color w:val="0F1115"/>
          <w:spacing w:val="0"/>
          <w:sz w:val="24"/>
          <w:szCs w:val="24"/>
          <w:shd w:val="clear" w:fill="FFFFFF"/>
          <w:lang w:eastAsia="zh-CN"/>
        </w:rPr>
      </w:pPr>
      <w:r>
        <w:rPr>
          <w:rFonts w:hint="default" w:ascii="Times New Roman" w:hAnsi="Times New Roman" w:eastAsia="Segoe UI" w:cs="Times New Roman"/>
          <w:i w:val="0"/>
          <w:iCs w:val="0"/>
          <w:caps w:val="0"/>
          <w:color w:val="0F1115"/>
          <w:spacing w:val="0"/>
          <w:sz w:val="24"/>
          <w:szCs w:val="24"/>
          <w:shd w:val="clear" w:fill="FFFFFF"/>
        </w:rPr>
        <w:t>Based on the traditional coupling coordination degree model [1] and its improved versions [2, 3], the coupling coordination degree index is refined and calculated. By combining the coupling coordination type and the comprehensive risk index, a risk level classification assessment is conducted for the 18 cities. Furthermore, from a mathematical perspective, it is demonstrated that this model outperforms traditional risk models:</w:t>
      </w:r>
      <w:r>
        <w:rPr>
          <w:rFonts w:hint="eastAsia" w:ascii="Times New Roman" w:hAnsi="Times New Roman" w:eastAsia="宋体" w:cs="Times New Roman"/>
          <w:i w:val="0"/>
          <w:iCs w:val="0"/>
          <w:caps w:val="0"/>
          <w:color w:val="0F1115"/>
          <w:spacing w:val="0"/>
          <w:sz w:val="24"/>
          <w:szCs w:val="24"/>
          <w:shd w:val="clear" w:fill="FFFFFF"/>
          <w:lang w:val="en-US" w:eastAsia="zh-CN"/>
        </w:rPr>
        <w:t xml:space="preserve"> </w:t>
      </w:r>
      <m:oMath>
        <m:r>
          <m:rPr>
            <m:sty m:val="p"/>
          </m:rPr>
          <w:rPr>
            <w:rFonts w:hint="default" w:ascii="Times New Roman" w:hAnsi="Times New Roman" w:eastAsia="Segoe UI" w:cs="Times New Roman"/>
            <w:caps w:val="0"/>
            <w:color w:val="0F1115"/>
            <w:spacing w:val="0"/>
            <w:sz w:val="24"/>
            <w:szCs w:val="24"/>
            <w:shd w:val="clear" w:fill="FFFFFF"/>
          </w:rPr>
          <m:t>R=H×V</m:t>
        </m:r>
      </m:oMath>
      <w:r>
        <w:rPr>
          <w:rFonts w:hint="eastAsia" w:hAnsi="Times New Roman" w:eastAsia="宋体" w:cs="Times New Roman"/>
          <w:i w:val="0"/>
          <w:iCs w:val="0"/>
          <w:caps w:val="0"/>
          <w:color w:val="0F1115"/>
          <w:spacing w:val="0"/>
          <w:sz w:val="24"/>
          <w:szCs w:val="24"/>
          <w:shd w:val="clear" w:fill="FFFFFF"/>
          <w:lang w:val="en-US" w:eastAsia="zh-CN"/>
        </w:rPr>
        <w:t>.</w:t>
      </w:r>
    </w:p>
    <w:p w14:paraId="16479A61">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firstLine="240" w:firstLineChars="100"/>
        <w:textAlignment w:val="auto"/>
        <w:rPr>
          <w:rFonts w:hint="eastAsia"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By incorporating temporal parameters, the static assessment model is extended into a dynamic evaluation model, further enhancing its capability to discern the synergistic states between systems [4]. Using actual cumulative infection data from epidemics,  the performance of the improved coupling coordination degree model is assessed, focusing on its predictive capability and robustness in forecasting epidemic progression.</w:t>
      </w:r>
      <w:bookmarkStart w:id="0" w:name="_GoBack"/>
      <w:bookmarkEnd w:id="0"/>
    </w:p>
    <w:p w14:paraId="569E6F68">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firstLine="240" w:firstLineChars="100"/>
        <w:textAlignment w:val="auto"/>
        <w:rPr>
          <w:rFonts w:hint="eastAsia"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For different types of cities, such as "low vulnerability–high-risk," "high-coordination," and "imbalanced-declining," a coordination impact model is developed to identify the influence of various subsystems on the overall coordination state. This analysis provides differentiated strategies and recommendations for public health risk prevention and control, as well as for enhancing urban resilience.</w:t>
      </w:r>
    </w:p>
    <w:p w14:paraId="4AADF04D">
      <w:pPr>
        <w:spacing w:line="360" w:lineRule="auto"/>
        <w:rPr>
          <w:rFonts w:ascii="宋体" w:hAnsi="宋体" w:eastAsia="宋体" w:cs="宋体"/>
        </w:rPr>
      </w:pPr>
    </w:p>
    <w:p w14:paraId="6274324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Segoe UI" w:cs="Times New Roman"/>
          <w:b/>
          <w:bCs/>
          <w:i w:val="0"/>
          <w:iCs w:val="0"/>
          <w:caps w:val="0"/>
          <w:color w:val="0F1115"/>
          <w:spacing w:val="0"/>
          <w:sz w:val="24"/>
          <w:szCs w:val="24"/>
          <w:shd w:val="clear" w:fill="FFFFFF"/>
          <w:lang w:val="en-US" w:eastAsia="zh-CN"/>
        </w:rPr>
      </w:pPr>
      <w:r>
        <w:rPr>
          <w:rFonts w:hint="default" w:ascii="Times New Roman" w:hAnsi="Times New Roman" w:eastAsia="Segoe UI" w:cs="Times New Roman"/>
          <w:b/>
          <w:bCs/>
          <w:i w:val="0"/>
          <w:iCs w:val="0"/>
          <w:caps w:val="0"/>
          <w:color w:val="0F1115"/>
          <w:spacing w:val="0"/>
          <w:sz w:val="24"/>
          <w:szCs w:val="24"/>
          <w:shd w:val="clear" w:fill="FFFFFF"/>
        </w:rPr>
        <w:t>References:</w:t>
      </w:r>
    </w:p>
    <w:p w14:paraId="1E08856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690" w:leftChars="100" w:hanging="480" w:hangingChars="200"/>
        <w:textAlignment w:val="auto"/>
        <w:rPr>
          <w:rFonts w:hint="default" w:ascii="Times New Roman" w:hAnsi="Times New Roman" w:eastAsia="Segoe UI" w:cs="Times New Roman"/>
          <w:i w:val="0"/>
          <w:iCs w:val="0"/>
          <w:caps w:val="0"/>
          <w:color w:val="0F1115"/>
          <w:spacing w:val="0"/>
          <w:sz w:val="24"/>
          <w:szCs w:val="24"/>
          <w:shd w:val="clear" w:fill="FFFFFF"/>
        </w:rPr>
      </w:pPr>
      <w:r>
        <w:rPr>
          <w:rFonts w:hint="eastAsia" w:ascii="Times New Roman" w:hAnsi="Times New Roman" w:eastAsia="Segoe UI" w:cs="Times New Roman"/>
          <w:i w:val="0"/>
          <w:iCs w:val="0"/>
          <w:caps w:val="0"/>
          <w:color w:val="0F1115"/>
          <w:spacing w:val="0"/>
          <w:sz w:val="24"/>
          <w:szCs w:val="24"/>
          <w:shd w:val="clear" w:fill="FFFFFF"/>
        </w:rPr>
        <w:fldChar w:fldCharType="begin"/>
      </w:r>
      <w:r>
        <w:rPr>
          <w:rFonts w:hint="eastAsia" w:ascii="Times New Roman" w:hAnsi="Times New Roman" w:eastAsia="Segoe UI" w:cs="Times New Roman"/>
          <w:i w:val="0"/>
          <w:iCs w:val="0"/>
          <w:caps w:val="0"/>
          <w:color w:val="0F1115"/>
          <w:spacing w:val="0"/>
          <w:sz w:val="24"/>
          <w:szCs w:val="24"/>
          <w:shd w:val="clear" w:fill="FFFFFF"/>
        </w:rPr>
        <w:instrText xml:space="preserve"> ADDIN ZOTERO_BIBL {"uncited":[],"omitted":[],"custom":[]} CSL_BIBLIOGRAPHY </w:instrText>
      </w:r>
      <w:r>
        <w:rPr>
          <w:rFonts w:hint="eastAsia" w:ascii="Times New Roman" w:hAnsi="Times New Roman" w:eastAsia="Segoe UI" w:cs="Times New Roman"/>
          <w:i w:val="0"/>
          <w:iCs w:val="0"/>
          <w:caps w:val="0"/>
          <w:color w:val="0F1115"/>
          <w:spacing w:val="0"/>
          <w:sz w:val="24"/>
          <w:szCs w:val="24"/>
          <w:shd w:val="clear" w:fill="FFFFFF"/>
        </w:rPr>
        <w:fldChar w:fldCharType="separate"/>
      </w:r>
      <w:r>
        <w:rPr>
          <w:rFonts w:hint="eastAsia" w:ascii="Times New Roman" w:hAnsi="Times New Roman" w:eastAsia="Segoe UI" w:cs="Times New Roman"/>
          <w:i w:val="0"/>
          <w:iCs w:val="0"/>
          <w:caps w:val="0"/>
          <w:color w:val="0F1115"/>
          <w:spacing w:val="0"/>
          <w:sz w:val="24"/>
          <w:szCs w:val="24"/>
          <w:shd w:val="clear" w:fill="FFFFFF"/>
          <w:lang w:val="en-US" w:eastAsia="zh-CN"/>
        </w:rPr>
        <w:t>[1]</w:t>
      </w:r>
      <w:r>
        <w:rPr>
          <w:rFonts w:hint="default" w:ascii="Times New Roman" w:hAnsi="Times New Roman" w:eastAsia="Segoe UI" w:cs="Times New Roman"/>
          <w:i w:val="0"/>
          <w:iCs w:val="0"/>
          <w:caps w:val="0"/>
          <w:color w:val="0F1115"/>
          <w:spacing w:val="0"/>
          <w:sz w:val="24"/>
          <w:szCs w:val="24"/>
          <w:shd w:val="clear" w:fill="FFFFFF"/>
        </w:rPr>
        <w:tab/>
      </w:r>
      <w:r>
        <w:rPr>
          <w:rFonts w:hint="default" w:ascii="Times New Roman" w:hAnsi="Times New Roman" w:eastAsia="Segoe UI" w:cs="Times New Roman"/>
          <w:i w:val="0"/>
          <w:iCs w:val="0"/>
          <w:caps w:val="0"/>
          <w:color w:val="0F1115"/>
          <w:spacing w:val="0"/>
          <w:sz w:val="24"/>
          <w:szCs w:val="24"/>
          <w:shd w:val="clear" w:fill="FFFFFF"/>
        </w:rPr>
        <w:t>Yang, M.; Wu, C.; Gong, L.; Tan, G. Coupling Coordination Relationship</w:t>
      </w:r>
      <w:r>
        <w:rPr>
          <w:rFonts w:hint="eastAsia" w:ascii="Times New Roman" w:hAnsi="Times New Roman" w:eastAsia="宋体" w:cs="Times New Roman"/>
          <w:i w:val="0"/>
          <w:iCs w:val="0"/>
          <w:caps w:val="0"/>
          <w:color w:val="0F1115"/>
          <w:spacing w:val="0"/>
          <w:sz w:val="24"/>
          <w:szCs w:val="24"/>
          <w:shd w:val="clear" w:fill="FFFFFF"/>
          <w:lang w:val="en-US" w:eastAsia="zh-CN"/>
        </w:rPr>
        <w:t xml:space="preserve"> </w:t>
      </w:r>
      <w:r>
        <w:rPr>
          <w:rFonts w:hint="default" w:ascii="Times New Roman" w:hAnsi="Times New Roman" w:eastAsia="Segoe UI" w:cs="Times New Roman"/>
          <w:i w:val="0"/>
          <w:iCs w:val="0"/>
          <w:caps w:val="0"/>
          <w:color w:val="0F1115"/>
          <w:spacing w:val="0"/>
          <w:sz w:val="24"/>
          <w:szCs w:val="24"/>
          <w:shd w:val="clear" w:fill="FFFFFF"/>
        </w:rPr>
        <w:t>between Cultural Landscape Conservation and Socio-Economic System in Ethnic Villages of Southeast Guizhou. Land 2024, 13 (8), 1223. https://doi.org/10.3390/land13081223.</w:t>
      </w:r>
    </w:p>
    <w:p w14:paraId="47F33A9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690" w:leftChars="100" w:hanging="480" w:hangingChars="200"/>
        <w:textAlignment w:val="auto"/>
        <w:rPr>
          <w:rFonts w:hint="default" w:ascii="Times New Roman" w:hAnsi="Times New Roman" w:eastAsia="Segoe UI" w:cs="Times New Roman"/>
          <w:i w:val="0"/>
          <w:iCs w:val="0"/>
          <w:caps w:val="0"/>
          <w:color w:val="0F1115"/>
          <w:spacing w:val="0"/>
          <w:sz w:val="24"/>
          <w:szCs w:val="24"/>
          <w:shd w:val="clear" w:fill="FFFFFF"/>
        </w:rPr>
      </w:pPr>
      <w:r>
        <w:rPr>
          <w:rFonts w:hint="eastAsia" w:ascii="Times New Roman" w:hAnsi="Times New Roman" w:eastAsia="Segoe UI" w:cs="Times New Roman"/>
          <w:i w:val="0"/>
          <w:iCs w:val="0"/>
          <w:caps w:val="0"/>
          <w:color w:val="0F1115"/>
          <w:spacing w:val="0"/>
          <w:sz w:val="24"/>
          <w:szCs w:val="24"/>
          <w:shd w:val="clear" w:fill="FFFFFF"/>
          <w:lang w:val="en-US" w:eastAsia="zh-CN"/>
        </w:rPr>
        <w:t xml:space="preserve">[2] </w:t>
      </w:r>
      <w:r>
        <w:rPr>
          <w:rFonts w:hint="default" w:ascii="Times New Roman" w:hAnsi="Times New Roman" w:eastAsia="Segoe UI" w:cs="Times New Roman"/>
          <w:i w:val="0"/>
          <w:iCs w:val="0"/>
          <w:caps w:val="0"/>
          <w:color w:val="0F1115"/>
          <w:spacing w:val="0"/>
          <w:sz w:val="24"/>
          <w:szCs w:val="24"/>
          <w:shd w:val="clear" w:fill="FFFFFF"/>
        </w:rPr>
        <w:t>Xiang, M.; Yang, J.; Han, S.; Liu, Y.; Wang, C.; Wei, F. Spatial Coupling Relationship between Multidimensional Poverty and the Risk of Geological Disaster. Local Environment 2023, 28 (5), 662–680. https://doi.org/10.1080/13549839.2023.2169913.</w:t>
      </w:r>
    </w:p>
    <w:p w14:paraId="591C29E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690" w:leftChars="100" w:hanging="480" w:hangingChars="200"/>
        <w:textAlignment w:val="auto"/>
        <w:rPr>
          <w:rFonts w:hint="default" w:ascii="Times New Roman" w:hAnsi="Times New Roman" w:eastAsia="Segoe UI" w:cs="Times New Roman"/>
          <w:i w:val="0"/>
          <w:iCs w:val="0"/>
          <w:caps w:val="0"/>
          <w:color w:val="0F1115"/>
          <w:spacing w:val="0"/>
          <w:sz w:val="24"/>
          <w:szCs w:val="24"/>
          <w:shd w:val="clear" w:fill="FFFFFF"/>
        </w:rPr>
      </w:pPr>
      <w:r>
        <w:rPr>
          <w:rFonts w:hint="eastAsia" w:ascii="Times New Roman" w:hAnsi="Times New Roman" w:eastAsia="Segoe UI" w:cs="Times New Roman"/>
          <w:i w:val="0"/>
          <w:iCs w:val="0"/>
          <w:caps w:val="0"/>
          <w:color w:val="0F1115"/>
          <w:spacing w:val="0"/>
          <w:sz w:val="24"/>
          <w:szCs w:val="24"/>
          <w:shd w:val="clear" w:fill="FFFFFF"/>
          <w:lang w:val="en-US" w:eastAsia="zh-CN"/>
        </w:rPr>
        <w:t>[3]</w:t>
      </w:r>
      <w:r>
        <w:rPr>
          <w:rFonts w:hint="default" w:ascii="Times New Roman" w:hAnsi="Times New Roman" w:eastAsia="Segoe UI" w:cs="Times New Roman"/>
          <w:i w:val="0"/>
          <w:iCs w:val="0"/>
          <w:caps w:val="0"/>
          <w:color w:val="0F1115"/>
          <w:spacing w:val="0"/>
          <w:sz w:val="24"/>
          <w:szCs w:val="24"/>
          <w:shd w:val="clear" w:fill="FFFFFF"/>
        </w:rPr>
        <w:tab/>
      </w:r>
      <w:r>
        <w:rPr>
          <w:rFonts w:hint="default" w:ascii="Times New Roman" w:hAnsi="Times New Roman" w:eastAsia="Segoe UI" w:cs="Times New Roman"/>
          <w:i w:val="0"/>
          <w:iCs w:val="0"/>
          <w:caps w:val="0"/>
          <w:color w:val="0F1115"/>
          <w:spacing w:val="0"/>
          <w:sz w:val="24"/>
          <w:szCs w:val="24"/>
          <w:shd w:val="clear" w:fill="FFFFFF"/>
        </w:rPr>
        <w:t>Su Shengliang; Gao Ming; Xu Jinjuan; Li Guangyao; Han Lei; Pu Yong; et al. Spatial Coupling Relationship Between Ecological Fragility and Economic Poverty in Haiyuan County of Ningxia-All Databases. Research of Soil and Water Conservation 2022, 29 (3), 327–333.</w:t>
      </w:r>
    </w:p>
    <w:p w14:paraId="28800B0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690" w:leftChars="100" w:hanging="480" w:hangingChars="200"/>
        <w:textAlignment w:val="auto"/>
        <w:rPr>
          <w:rFonts w:hint="default" w:ascii="Times New Roman" w:hAnsi="Times New Roman" w:eastAsia="Segoe UI" w:cs="Times New Roman"/>
          <w:i w:val="0"/>
          <w:iCs w:val="0"/>
          <w:caps w:val="0"/>
          <w:color w:val="0F1115"/>
          <w:spacing w:val="0"/>
          <w:sz w:val="24"/>
          <w:szCs w:val="24"/>
          <w:shd w:val="clear" w:fill="FFFFFF"/>
        </w:rPr>
      </w:pPr>
      <w:r>
        <w:rPr>
          <w:rFonts w:hint="eastAsia" w:ascii="Times New Roman" w:hAnsi="Times New Roman" w:eastAsia="Segoe UI" w:cs="Times New Roman"/>
          <w:i w:val="0"/>
          <w:iCs w:val="0"/>
          <w:caps w:val="0"/>
          <w:color w:val="0F1115"/>
          <w:spacing w:val="0"/>
          <w:sz w:val="24"/>
          <w:szCs w:val="24"/>
          <w:shd w:val="clear" w:fill="FFFFFF"/>
          <w:lang w:val="en-US" w:eastAsia="zh-CN"/>
        </w:rPr>
        <w:t xml:space="preserve">[4] </w:t>
      </w:r>
      <w:r>
        <w:rPr>
          <w:rFonts w:hint="default" w:ascii="Times New Roman" w:hAnsi="Times New Roman" w:eastAsia="Segoe UI" w:cs="Times New Roman"/>
          <w:i w:val="0"/>
          <w:iCs w:val="0"/>
          <w:caps w:val="0"/>
          <w:color w:val="0F1115"/>
          <w:spacing w:val="0"/>
          <w:sz w:val="24"/>
          <w:szCs w:val="24"/>
          <w:shd w:val="clear" w:fill="FFFFFF"/>
        </w:rPr>
        <w:t>Li, P.; Xue, Y.; Liang, J.; Tan, S. Research on the Coupling and Coordination of Urbanization and Flood Disasters Based on an Improved Coupling Coordination Model: A Case Study from the Pearl River Delta in China. Sustainable Cities Soc. 2025, 130, 106564. https://doi.org/10.1016/j.scs.2025.106564.</w:t>
      </w:r>
    </w:p>
    <w:p w14:paraId="39E2A6A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Times New Roman" w:hAnsi="Times New Roman" w:eastAsia="Segoe UI" w:cs="Times New Roman"/>
          <w:i w:val="0"/>
          <w:iCs w:val="0"/>
          <w:caps w:val="0"/>
          <w:color w:val="0F1115"/>
          <w:spacing w:val="0"/>
          <w:sz w:val="24"/>
          <w:szCs w:val="24"/>
          <w:shd w:val="clear" w:fill="FFFFFF"/>
        </w:rPr>
        <w:fldChar w:fldCharType="end"/>
      </w:r>
    </w:p>
    <w:p w14:paraId="7D4D4A83">
      <w:pPr>
        <w:pStyle w:val="9"/>
        <w:keepNext w:val="0"/>
        <w:keepLines w:val="0"/>
        <w:widowControl/>
        <w:suppressLineNumbers w:val="0"/>
        <w:spacing w:before="0" w:beforeAutospacing="0" w:after="0" w:afterAutospacing="0" w:line="210" w:lineRule="atLeast"/>
        <w:ind w:left="0" w:right="0"/>
        <w:rPr>
          <w:rFonts w:hint="default" w:ascii="Times New Roman" w:hAnsi="Times New Roman" w:eastAsia="Segoe UI" w:cs="Times New Roman"/>
          <w:i w:val="0"/>
          <w:iCs w:val="0"/>
          <w:caps w:val="0"/>
          <w:color w:val="0F1115"/>
          <w:spacing w:val="0"/>
          <w:kern w:val="2"/>
          <w:sz w:val="24"/>
          <w:szCs w:val="24"/>
          <w:shd w:val="clear" w:fill="FFFFFF"/>
          <w:lang w:val="en-US" w:eastAsia="zh-CN" w:bidi="ar-SA"/>
        </w:rPr>
      </w:pPr>
      <w:r>
        <w:rPr>
          <w:rFonts w:hint="eastAsia" w:ascii="宋体" w:hAnsi="宋体" w:eastAsia="宋体" w:cs="宋体"/>
          <w:b/>
          <w:bCs/>
          <w:color w:val="2E54A1" w:themeColor="accent1" w:themeShade="BF"/>
          <w:kern w:val="0"/>
          <w:sz w:val="21"/>
          <w:szCs w:val="21"/>
          <w:lang w:val="en-US" w:eastAsia="zh-CN"/>
        </w:rPr>
        <w:t xml:space="preserve"> </w:t>
      </w:r>
      <w:r>
        <w:rPr>
          <w:rFonts w:hint="default" w:ascii="Times New Roman" w:hAnsi="Times New Roman" w:eastAsia="Segoe UI" w:cs="Times New Roman"/>
          <w:b/>
          <w:bCs/>
          <w:i w:val="0"/>
          <w:iCs w:val="0"/>
          <w:caps w:val="0"/>
          <w:color w:val="0F1115"/>
          <w:spacing w:val="0"/>
          <w:kern w:val="2"/>
          <w:sz w:val="24"/>
          <w:szCs w:val="24"/>
          <w:shd w:val="clear" w:fill="FFFFFF"/>
          <w:lang w:val="en-US" w:eastAsia="zh-CN" w:bidi="ar-SA"/>
        </w:rPr>
        <w:t>Appendix 1:</w:t>
      </w:r>
      <w:r>
        <w:rPr>
          <w:rFonts w:hint="default" w:ascii="Times New Roman" w:hAnsi="Times New Roman" w:eastAsia="Segoe UI" w:cs="Times New Roman"/>
          <w:i w:val="0"/>
          <w:iCs w:val="0"/>
          <w:caps w:val="0"/>
          <w:color w:val="0F1115"/>
          <w:spacing w:val="0"/>
          <w:kern w:val="2"/>
          <w:sz w:val="24"/>
          <w:szCs w:val="24"/>
          <w:shd w:val="clear" w:fill="FFFFFF"/>
          <w:lang w:val="en-US" w:eastAsia="zh-CN" w:bidi="ar-SA"/>
        </w:rPr>
        <w:t> List of 18 Cities (Including City Scale/Tier)</w:t>
      </w:r>
    </w:p>
    <w:p w14:paraId="1F30474E">
      <w:pPr>
        <w:pStyle w:val="9"/>
        <w:keepNext w:val="0"/>
        <w:keepLines w:val="0"/>
        <w:widowControl/>
        <w:suppressLineNumbers w:val="0"/>
        <w:spacing w:before="0" w:beforeAutospacing="0" w:after="0" w:afterAutospacing="0" w:line="210" w:lineRule="atLeast"/>
        <w:ind w:left="0" w:right="0"/>
        <w:rPr>
          <w:rFonts w:hint="eastAsia" w:ascii="Times New Roman" w:hAnsi="Times New Roman" w:eastAsia="Segoe UI" w:cs="Times New Roman"/>
          <w:i w:val="0"/>
          <w:iCs w:val="0"/>
          <w:caps w:val="0"/>
          <w:color w:val="0F1115"/>
          <w:spacing w:val="0"/>
          <w:kern w:val="2"/>
          <w:sz w:val="24"/>
          <w:szCs w:val="24"/>
          <w:shd w:val="clear" w:fill="FFFFFF"/>
          <w:lang w:val="en-US" w:eastAsia="zh-CN" w:bidi="ar-SA"/>
        </w:rPr>
      </w:pPr>
    </w:p>
    <w:tbl>
      <w:tblPr>
        <w:tblStyle w:val="10"/>
        <w:tblW w:w="4974" w:type="pct"/>
        <w:tblInd w:w="0" w:type="dxa"/>
        <w:tblLayout w:type="fixed"/>
        <w:tblCellMar>
          <w:top w:w="0" w:type="dxa"/>
          <w:left w:w="108" w:type="dxa"/>
          <w:bottom w:w="0" w:type="dxa"/>
          <w:right w:w="108" w:type="dxa"/>
        </w:tblCellMar>
      </w:tblPr>
      <w:tblGrid>
        <w:gridCol w:w="1543"/>
        <w:gridCol w:w="1450"/>
        <w:gridCol w:w="1904"/>
        <w:gridCol w:w="3582"/>
      </w:tblGrid>
      <w:tr w14:paraId="447D6B5D">
        <w:tblPrEx>
          <w:tblCellMar>
            <w:top w:w="0" w:type="dxa"/>
            <w:left w:w="108" w:type="dxa"/>
            <w:bottom w:w="0" w:type="dxa"/>
            <w:right w:w="108" w:type="dxa"/>
          </w:tblCellMar>
        </w:tblPrEx>
        <w:trPr>
          <w:trHeight w:val="615" w:hRule="atLeast"/>
        </w:trPr>
        <w:tc>
          <w:tcPr>
            <w:tcW w:w="909" w:type="pct"/>
            <w:tcBorders>
              <w:top w:val="single" w:color="000000" w:sz="4" w:space="0"/>
              <w:left w:val="single" w:color="000000" w:sz="4" w:space="0"/>
              <w:bottom w:val="single" w:color="000000" w:sz="4" w:space="0"/>
              <w:right w:val="single" w:color="000000" w:sz="4" w:space="0"/>
            </w:tcBorders>
            <w:noWrap/>
            <w:vAlign w:val="center"/>
          </w:tcPr>
          <w:p w14:paraId="19306D17">
            <w:pPr>
              <w:widowControl/>
              <w:jc w:val="center"/>
              <w:textAlignment w:val="center"/>
              <w:rPr>
                <w:rFonts w:hint="eastAsia"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Economic Regions</w:t>
            </w:r>
          </w:p>
        </w:tc>
        <w:tc>
          <w:tcPr>
            <w:tcW w:w="855" w:type="pct"/>
            <w:tcBorders>
              <w:top w:val="single" w:color="000000" w:sz="4" w:space="0"/>
              <w:left w:val="single" w:color="000000" w:sz="4" w:space="0"/>
              <w:bottom w:val="single" w:color="000000" w:sz="4" w:space="0"/>
              <w:right w:val="single" w:color="000000" w:sz="4" w:space="0"/>
            </w:tcBorders>
            <w:noWrap/>
            <w:vAlign w:val="center"/>
          </w:tcPr>
          <w:p w14:paraId="71D5DB9A">
            <w:pPr>
              <w:widowControl/>
              <w:jc w:val="center"/>
              <w:textAlignment w:val="center"/>
              <w:rPr>
                <w:rFonts w:hint="eastAsia"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Scale</w:t>
            </w:r>
          </w:p>
        </w:tc>
        <w:tc>
          <w:tcPr>
            <w:tcW w:w="1122" w:type="pct"/>
            <w:tcBorders>
              <w:top w:val="single" w:color="000000" w:sz="4" w:space="0"/>
              <w:left w:val="single" w:color="000000" w:sz="4" w:space="0"/>
              <w:bottom w:val="single" w:color="000000" w:sz="4" w:space="0"/>
              <w:right w:val="single" w:color="000000" w:sz="4" w:space="0"/>
            </w:tcBorders>
            <w:noWrap/>
            <w:vAlign w:val="center"/>
          </w:tcPr>
          <w:p w14:paraId="34569164">
            <w:pPr>
              <w:widowControl/>
              <w:jc w:val="center"/>
              <w:textAlignment w:val="center"/>
              <w:rPr>
                <w:rFonts w:hint="default" w:ascii="宋体" w:hAnsi="宋体" w:eastAsia="宋体" w:cs="宋体"/>
                <w:b/>
                <w:bCs/>
                <w:color w:val="000000"/>
                <w:sz w:val="24"/>
                <w:lang w:val="en-US" w:eastAsia="zh-CN"/>
              </w:rPr>
            </w:pPr>
            <w:r>
              <w:rPr>
                <w:rFonts w:hint="eastAsia" w:ascii="Times New Roman" w:hAnsi="Times New Roman" w:eastAsia="Segoe UI" w:cs="Times New Roman"/>
                <w:i w:val="0"/>
                <w:iCs w:val="0"/>
                <w:caps w:val="0"/>
                <w:color w:val="0F1115"/>
                <w:spacing w:val="0"/>
                <w:sz w:val="24"/>
                <w:szCs w:val="24"/>
                <w:shd w:val="clear" w:fill="FFFFFF"/>
                <w:lang w:val="en-US" w:eastAsia="zh-CN"/>
              </w:rPr>
              <w:t>City</w:t>
            </w:r>
          </w:p>
        </w:tc>
        <w:tc>
          <w:tcPr>
            <w:tcW w:w="2112" w:type="pct"/>
            <w:tcBorders>
              <w:top w:val="single" w:color="000000" w:sz="4" w:space="0"/>
              <w:left w:val="single" w:color="000000" w:sz="4" w:space="0"/>
              <w:bottom w:val="single" w:color="000000" w:sz="4" w:space="0"/>
              <w:right w:val="single" w:color="000000" w:sz="4" w:space="0"/>
            </w:tcBorders>
            <w:vAlign w:val="center"/>
          </w:tcPr>
          <w:p w14:paraId="78147946">
            <w:pPr>
              <w:widowControl/>
              <w:jc w:val="center"/>
              <w:textAlignment w:val="center"/>
              <w:rPr>
                <w:rFonts w:hint="eastAsia" w:ascii="宋体" w:hAnsi="宋体" w:eastAsia="宋体" w:cs="宋体"/>
                <w:b/>
                <w:bCs/>
                <w:color w:val="000000"/>
                <w:sz w:val="24"/>
              </w:rPr>
            </w:pPr>
            <w:r>
              <w:rPr>
                <w:rFonts w:hint="default" w:ascii="Times New Roman" w:hAnsi="Times New Roman" w:eastAsia="Segoe UI" w:cs="Times New Roman"/>
                <w:i w:val="0"/>
                <w:iCs w:val="0"/>
                <w:caps w:val="0"/>
                <w:color w:val="0F1115"/>
                <w:spacing w:val="0"/>
                <w:sz w:val="24"/>
                <w:szCs w:val="24"/>
                <w:shd w:val="clear" w:fill="FFFFFF"/>
              </w:rPr>
              <w:t>Current Situation Analysis</w:t>
            </w:r>
          </w:p>
        </w:tc>
      </w:tr>
      <w:tr w14:paraId="104C61CC">
        <w:tblPrEx>
          <w:tblCellMar>
            <w:top w:w="0" w:type="dxa"/>
            <w:left w:w="108" w:type="dxa"/>
            <w:bottom w:w="0" w:type="dxa"/>
            <w:right w:w="108" w:type="dxa"/>
          </w:tblCellMar>
        </w:tblPrEx>
        <w:trPr>
          <w:trHeight w:val="480" w:hRule="atLeast"/>
        </w:trPr>
        <w:tc>
          <w:tcPr>
            <w:tcW w:w="909" w:type="pct"/>
            <w:vMerge w:val="restart"/>
            <w:tcBorders>
              <w:top w:val="single" w:color="000000" w:sz="4" w:space="0"/>
              <w:left w:val="single" w:color="000000" w:sz="4" w:space="0"/>
              <w:bottom w:val="single" w:color="000000" w:sz="4" w:space="0"/>
              <w:right w:val="single" w:color="000000" w:sz="4" w:space="0"/>
            </w:tcBorders>
            <w:noWrap/>
            <w:vAlign w:val="center"/>
          </w:tcPr>
          <w:p w14:paraId="1A8CAF38">
            <w:pPr>
              <w:widowControl/>
              <w:jc w:val="center"/>
              <w:textAlignment w:val="center"/>
              <w:rPr>
                <w:rFonts w:hint="eastAsia" w:ascii="宋体" w:hAnsi="宋体" w:eastAsia="宋体" w:cs="宋体"/>
                <w:color w:val="000000"/>
                <w:szCs w:val="21"/>
              </w:rPr>
            </w:pPr>
            <w:r>
              <w:rPr>
                <w:rFonts w:hint="default" w:ascii="Times New Roman" w:hAnsi="Times New Roman" w:eastAsia="Segoe UI" w:cs="Times New Roman"/>
                <w:i w:val="0"/>
                <w:iCs w:val="0"/>
                <w:caps w:val="0"/>
                <w:color w:val="0F1115"/>
                <w:spacing w:val="0"/>
                <w:kern w:val="2"/>
                <w:sz w:val="24"/>
                <w:szCs w:val="24"/>
                <w:shd w:val="clear" w:fill="FFFFFF"/>
                <w:lang w:val="en-US" w:eastAsia="zh-CN" w:bidi="ar-SA"/>
              </w:rPr>
              <w:t>Chengdu Plain</w:t>
            </w:r>
          </w:p>
        </w:tc>
        <w:tc>
          <w:tcPr>
            <w:tcW w:w="855" w:type="pct"/>
            <w:tcBorders>
              <w:top w:val="single" w:color="000000" w:sz="4" w:space="0"/>
              <w:left w:val="single" w:color="000000" w:sz="4" w:space="0"/>
              <w:bottom w:val="single" w:color="000000" w:sz="4" w:space="0"/>
              <w:right w:val="single" w:color="000000" w:sz="4" w:space="0"/>
            </w:tcBorders>
            <w:vAlign w:val="center"/>
          </w:tcPr>
          <w:p w14:paraId="222AC86B">
            <w:pPr>
              <w:widowControl/>
              <w:jc w:val="center"/>
              <w:textAlignment w:val="center"/>
              <w:rPr>
                <w:rFonts w:hint="eastAsia" w:ascii="宋体" w:hAnsi="宋体" w:eastAsia="宋体" w:cs="宋体"/>
                <w:color w:val="000000"/>
                <w:szCs w:val="21"/>
              </w:rPr>
            </w:pPr>
            <w:r>
              <w:rPr>
                <w:rFonts w:hint="eastAsia" w:ascii="Times New Roman" w:hAnsi="Times New Roman" w:eastAsia="Segoe UI" w:cs="Times New Roman"/>
                <w:i w:val="0"/>
                <w:iCs w:val="0"/>
                <w:caps w:val="0"/>
                <w:color w:val="0F1115"/>
                <w:spacing w:val="0"/>
                <w:sz w:val="24"/>
                <w:szCs w:val="24"/>
                <w:shd w:val="clear" w:fill="FFFFFF"/>
                <w:lang w:val="en-US" w:eastAsia="zh-CN"/>
              </w:rPr>
              <w:t> </w:t>
            </w:r>
            <w:r>
              <w:rPr>
                <w:rFonts w:hint="default" w:ascii="Times New Roman" w:hAnsi="Times New Roman" w:eastAsia="Segoe UI" w:cs="Times New Roman"/>
                <w:i w:val="0"/>
                <w:iCs w:val="0"/>
                <w:caps w:val="0"/>
                <w:color w:val="0F1115"/>
                <w:spacing w:val="0"/>
                <w:sz w:val="24"/>
                <w:szCs w:val="24"/>
                <w:shd w:val="clear" w:fill="FFFFFF"/>
                <w:lang w:val="en-US" w:eastAsia="zh-CN"/>
              </w:rPr>
              <w:t xml:space="preserve">Super-large </w:t>
            </w:r>
            <w:r>
              <w:rPr>
                <w:rFonts w:hint="eastAsia" w:ascii="Times New Roman" w:hAnsi="Times New Roman" w:eastAsia="Segoe UI" w:cs="Times New Roman"/>
                <w:i w:val="0"/>
                <w:iCs w:val="0"/>
                <w:caps w:val="0"/>
                <w:color w:val="0F1115"/>
                <w:spacing w:val="0"/>
                <w:sz w:val="24"/>
                <w:szCs w:val="24"/>
                <w:shd w:val="clear" w:fill="FFFFFF"/>
                <w:lang w:val="en-US" w:eastAsia="zh-CN"/>
              </w:rPr>
              <w:t>c</w:t>
            </w:r>
            <w:r>
              <w:rPr>
                <w:rFonts w:hint="default" w:ascii="Times New Roman" w:hAnsi="Times New Roman" w:eastAsia="Segoe UI" w:cs="Times New Roman"/>
                <w:i w:val="0"/>
                <w:iCs w:val="0"/>
                <w:caps w:val="0"/>
                <w:color w:val="0F1115"/>
                <w:spacing w:val="0"/>
                <w:sz w:val="24"/>
                <w:szCs w:val="24"/>
                <w:shd w:val="clear" w:fill="FFFFFF"/>
                <w:lang w:val="en-US" w:eastAsia="zh-CN"/>
              </w:rPr>
              <w:t>ity</w:t>
            </w:r>
          </w:p>
        </w:tc>
        <w:tc>
          <w:tcPr>
            <w:tcW w:w="1122" w:type="pct"/>
            <w:tcBorders>
              <w:top w:val="single" w:color="000000" w:sz="4" w:space="0"/>
              <w:left w:val="single" w:color="000000" w:sz="4" w:space="0"/>
              <w:bottom w:val="single" w:color="000000" w:sz="4" w:space="0"/>
              <w:right w:val="single" w:color="000000" w:sz="4" w:space="0"/>
            </w:tcBorders>
            <w:noWrap/>
            <w:vAlign w:val="center"/>
          </w:tcPr>
          <w:p w14:paraId="5E5778E0">
            <w:pPr>
              <w:widowControl/>
              <w:jc w:val="left"/>
              <w:textAlignment w:val="center"/>
              <w:rPr>
                <w:rFonts w:hint="eastAsia" w:ascii="宋体" w:hAnsi="宋体" w:eastAsia="宋体" w:cs="宋体"/>
                <w:color w:val="000000"/>
                <w:szCs w:val="21"/>
              </w:rPr>
            </w:pPr>
            <w:r>
              <w:rPr>
                <w:rFonts w:hint="default" w:ascii="Times New Roman" w:hAnsi="Times New Roman" w:eastAsia="Segoe UI" w:cs="Times New Roman"/>
                <w:i w:val="0"/>
                <w:iCs w:val="0"/>
                <w:caps w:val="0"/>
                <w:color w:val="0F1115"/>
                <w:spacing w:val="0"/>
                <w:sz w:val="24"/>
                <w:szCs w:val="24"/>
                <w:shd w:val="clear" w:fill="FFFFFF"/>
                <w:lang w:val="en-US" w:eastAsia="zh-CN"/>
              </w:rPr>
              <w:t>Chengdu</w:t>
            </w:r>
          </w:p>
        </w:tc>
        <w:tc>
          <w:tcPr>
            <w:tcW w:w="2112" w:type="pct"/>
            <w:vMerge w:val="restart"/>
            <w:tcBorders>
              <w:top w:val="single" w:color="000000" w:sz="4" w:space="0"/>
              <w:left w:val="single" w:color="000000" w:sz="4" w:space="0"/>
              <w:bottom w:val="single" w:color="000000" w:sz="4" w:space="0"/>
              <w:right w:val="single" w:color="000000" w:sz="4" w:space="0"/>
            </w:tcBorders>
            <w:vAlign w:val="center"/>
          </w:tcPr>
          <w:p w14:paraId="5CC51891">
            <w:pPr>
              <w:widowControl/>
              <w:jc w:val="left"/>
              <w:textAlignment w:val="center"/>
              <w:rPr>
                <w:rFonts w:hint="eastAsia" w:ascii="宋体" w:hAnsi="宋体" w:eastAsia="宋体" w:cs="宋体"/>
                <w:color w:val="000000"/>
                <w:szCs w:val="21"/>
              </w:rPr>
            </w:pPr>
            <w:r>
              <w:rPr>
                <w:rFonts w:hint="eastAsia" w:ascii="Times New Roman" w:hAnsi="Times New Roman" w:eastAsia="Segoe UI" w:cs="Times New Roman"/>
                <w:i w:val="0"/>
                <w:iCs w:val="0"/>
                <w:caps w:val="0"/>
                <w:color w:val="0F1115"/>
                <w:spacing w:val="0"/>
                <w:sz w:val="24"/>
                <w:szCs w:val="24"/>
                <w:shd w:val="clear" w:fill="FFFFFF"/>
                <w:lang w:val="en-US" w:eastAsia="zh-CN"/>
              </w:rPr>
              <w:t>Chengdu Plain Economic Zone accounts for over 50% of the province's permanent resident population. It is the region with the most favorable development conditions, the highest population density, and the greatest industrial concentration in the province, as well as one of the areas with the highest urbanization and economic agglomeration levels in Western China.</w:t>
            </w:r>
          </w:p>
        </w:tc>
      </w:tr>
      <w:tr w14:paraId="5359F4A3">
        <w:tblPrEx>
          <w:tblCellMar>
            <w:top w:w="0" w:type="dxa"/>
            <w:left w:w="108" w:type="dxa"/>
            <w:bottom w:w="0" w:type="dxa"/>
            <w:right w:w="108" w:type="dxa"/>
          </w:tblCellMar>
        </w:tblPrEx>
        <w:trPr>
          <w:trHeight w:val="480" w:hRule="atLeast"/>
        </w:trPr>
        <w:tc>
          <w:tcPr>
            <w:tcW w:w="909" w:type="pct"/>
            <w:vMerge w:val="continue"/>
            <w:tcBorders>
              <w:top w:val="single" w:color="000000" w:sz="4" w:space="0"/>
              <w:left w:val="single" w:color="000000" w:sz="4" w:space="0"/>
              <w:bottom w:val="single" w:color="000000" w:sz="4" w:space="0"/>
              <w:right w:val="single" w:color="000000" w:sz="4" w:space="0"/>
            </w:tcBorders>
            <w:noWrap/>
            <w:vAlign w:val="center"/>
          </w:tcPr>
          <w:p w14:paraId="5D5090E5">
            <w:pPr>
              <w:jc w:val="center"/>
              <w:rPr>
                <w:rFonts w:hint="eastAsia" w:ascii="宋体" w:hAnsi="宋体" w:eastAsia="宋体" w:cs="宋体"/>
                <w:color w:val="000000"/>
                <w:szCs w:val="21"/>
              </w:rPr>
            </w:pPr>
          </w:p>
        </w:tc>
        <w:tc>
          <w:tcPr>
            <w:tcW w:w="855" w:type="pct"/>
            <w:tcBorders>
              <w:top w:val="single" w:color="000000" w:sz="4" w:space="0"/>
              <w:left w:val="single" w:color="000000" w:sz="4" w:space="0"/>
              <w:bottom w:val="single" w:color="000000" w:sz="4" w:space="0"/>
              <w:right w:val="single" w:color="000000" w:sz="4" w:space="0"/>
            </w:tcBorders>
            <w:noWrap/>
            <w:vAlign w:val="center"/>
          </w:tcPr>
          <w:p w14:paraId="0379B970">
            <w:pPr>
              <w:widowControl/>
              <w:jc w:val="center"/>
              <w:textAlignment w:val="center"/>
              <w:rPr>
                <w:rFonts w:hint="default" w:ascii="Times New Roman" w:hAnsi="Times New Roman" w:eastAsia="Segoe UI" w:cs="Times New Roman"/>
                <w:i w:val="0"/>
                <w:iCs w:val="0"/>
                <w:caps w:val="0"/>
                <w:color w:val="0F1115"/>
                <w:spacing w:val="0"/>
                <w:sz w:val="24"/>
                <w:szCs w:val="24"/>
                <w:shd w:val="clear" w:fill="FFFFFF"/>
                <w:lang w:val="en-US" w:eastAsia="zh-CN"/>
              </w:rPr>
            </w:pPr>
            <w:r>
              <w:rPr>
                <w:rFonts w:hint="default" w:ascii="Times New Roman" w:hAnsi="Times New Roman" w:eastAsia="Segoe UI" w:cs="Times New Roman"/>
                <w:i w:val="0"/>
                <w:iCs w:val="0"/>
                <w:caps w:val="0"/>
                <w:color w:val="0F1115"/>
                <w:spacing w:val="0"/>
                <w:sz w:val="24"/>
                <w:szCs w:val="24"/>
                <w:shd w:val="clear" w:fill="FFFFFF"/>
                <w:lang w:val="en-US" w:eastAsia="zh-CN"/>
              </w:rPr>
              <w:t>Type II</w:t>
            </w:r>
          </w:p>
          <w:p w14:paraId="76D38D76">
            <w:pPr>
              <w:widowControl/>
              <w:jc w:val="center"/>
              <w:textAlignment w:val="center"/>
              <w:rPr>
                <w:rFonts w:hint="eastAsia" w:ascii="宋体" w:hAnsi="宋体" w:eastAsia="宋体" w:cs="宋体"/>
                <w:color w:val="000000"/>
                <w:szCs w:val="21"/>
              </w:rPr>
            </w:pPr>
            <w:r>
              <w:rPr>
                <w:rFonts w:hint="eastAsia" w:ascii="Times New Roman" w:hAnsi="Times New Roman" w:eastAsia="Segoe UI" w:cs="Times New Roman"/>
                <w:i w:val="0"/>
                <w:iCs w:val="0"/>
                <w:caps w:val="0"/>
                <w:color w:val="0F1115"/>
                <w:spacing w:val="0"/>
                <w:sz w:val="24"/>
                <w:szCs w:val="24"/>
                <w:shd w:val="clear" w:fill="FFFFFF"/>
                <w:lang w:val="en-US" w:eastAsia="zh-CN"/>
              </w:rPr>
              <w:t>l</w:t>
            </w:r>
            <w:r>
              <w:rPr>
                <w:rFonts w:hint="default" w:ascii="Times New Roman" w:hAnsi="Times New Roman" w:eastAsia="Segoe UI" w:cs="Times New Roman"/>
                <w:i w:val="0"/>
                <w:iCs w:val="0"/>
                <w:caps w:val="0"/>
                <w:color w:val="0F1115"/>
                <w:spacing w:val="0"/>
                <w:sz w:val="24"/>
                <w:szCs w:val="24"/>
                <w:shd w:val="clear" w:fill="FFFFFF"/>
                <w:lang w:val="en-US" w:eastAsia="zh-CN"/>
              </w:rPr>
              <w:t xml:space="preserve">arge </w:t>
            </w:r>
            <w:r>
              <w:rPr>
                <w:rFonts w:hint="eastAsia" w:ascii="Times New Roman" w:hAnsi="Times New Roman" w:eastAsia="Segoe UI" w:cs="Times New Roman"/>
                <w:i w:val="0"/>
                <w:iCs w:val="0"/>
                <w:caps w:val="0"/>
                <w:color w:val="0F1115"/>
                <w:spacing w:val="0"/>
                <w:sz w:val="24"/>
                <w:szCs w:val="24"/>
                <w:shd w:val="clear" w:fill="FFFFFF"/>
                <w:lang w:val="en-US" w:eastAsia="zh-CN"/>
              </w:rPr>
              <w:t>c</w:t>
            </w:r>
            <w:r>
              <w:rPr>
                <w:rFonts w:hint="default" w:ascii="Times New Roman" w:hAnsi="Times New Roman" w:eastAsia="Segoe UI" w:cs="Times New Roman"/>
                <w:i w:val="0"/>
                <w:iCs w:val="0"/>
                <w:caps w:val="0"/>
                <w:color w:val="0F1115"/>
                <w:spacing w:val="0"/>
                <w:sz w:val="24"/>
                <w:szCs w:val="24"/>
                <w:shd w:val="clear" w:fill="FFFFFF"/>
                <w:lang w:val="en-US" w:eastAsia="zh-CN"/>
              </w:rPr>
              <w:t>ity</w:t>
            </w:r>
          </w:p>
        </w:tc>
        <w:tc>
          <w:tcPr>
            <w:tcW w:w="1122" w:type="pct"/>
            <w:tcBorders>
              <w:top w:val="single" w:color="000000" w:sz="4" w:space="0"/>
              <w:left w:val="single" w:color="000000" w:sz="4" w:space="0"/>
              <w:bottom w:val="single" w:color="000000" w:sz="4" w:space="0"/>
              <w:right w:val="single" w:color="000000" w:sz="4" w:space="0"/>
            </w:tcBorders>
            <w:noWrap/>
            <w:vAlign w:val="center"/>
          </w:tcPr>
          <w:p w14:paraId="2CE6D3C4">
            <w:pPr>
              <w:widowControl/>
              <w:jc w:val="left"/>
              <w:textAlignment w:val="center"/>
              <w:rPr>
                <w:rFonts w:hint="default" w:ascii="宋体" w:hAnsi="宋体" w:eastAsia="宋体" w:cs="宋体"/>
                <w:color w:val="000000"/>
                <w:szCs w:val="21"/>
                <w:lang w:val="en-US" w:eastAsia="zh-CN"/>
              </w:rPr>
            </w:pPr>
            <w:r>
              <w:rPr>
                <w:rFonts w:hint="eastAsia" w:ascii="Times New Roman" w:hAnsi="Times New Roman" w:eastAsia="Segoe UI" w:cs="Times New Roman"/>
                <w:i w:val="0"/>
                <w:iCs w:val="0"/>
                <w:caps w:val="0"/>
                <w:color w:val="0F1115"/>
                <w:spacing w:val="0"/>
                <w:sz w:val="24"/>
                <w:szCs w:val="24"/>
                <w:shd w:val="clear" w:fill="FFFFFF"/>
                <w:lang w:val="en-US" w:eastAsia="zh-CN"/>
              </w:rPr>
              <w:t>Mianyang</w:t>
            </w:r>
          </w:p>
        </w:tc>
        <w:tc>
          <w:tcPr>
            <w:tcW w:w="2112" w:type="pct"/>
            <w:vMerge w:val="continue"/>
            <w:tcBorders>
              <w:top w:val="single" w:color="000000" w:sz="4" w:space="0"/>
              <w:left w:val="single" w:color="000000" w:sz="4" w:space="0"/>
              <w:bottom w:val="single" w:color="000000" w:sz="4" w:space="0"/>
              <w:right w:val="single" w:color="000000" w:sz="4" w:space="0"/>
            </w:tcBorders>
            <w:vAlign w:val="center"/>
          </w:tcPr>
          <w:p w14:paraId="2E56CF42">
            <w:pPr>
              <w:jc w:val="left"/>
              <w:rPr>
                <w:rFonts w:hint="eastAsia" w:ascii="宋体" w:hAnsi="宋体" w:eastAsia="宋体" w:cs="宋体"/>
                <w:color w:val="000000"/>
                <w:szCs w:val="21"/>
              </w:rPr>
            </w:pPr>
          </w:p>
        </w:tc>
      </w:tr>
      <w:tr w14:paraId="3FE6B6B9">
        <w:tblPrEx>
          <w:tblCellMar>
            <w:top w:w="0" w:type="dxa"/>
            <w:left w:w="108" w:type="dxa"/>
            <w:bottom w:w="0" w:type="dxa"/>
            <w:right w:w="108" w:type="dxa"/>
          </w:tblCellMar>
        </w:tblPrEx>
        <w:trPr>
          <w:trHeight w:val="480" w:hRule="atLeast"/>
        </w:trPr>
        <w:tc>
          <w:tcPr>
            <w:tcW w:w="909" w:type="pct"/>
            <w:vMerge w:val="continue"/>
            <w:tcBorders>
              <w:top w:val="single" w:color="000000" w:sz="4" w:space="0"/>
              <w:left w:val="single" w:color="000000" w:sz="4" w:space="0"/>
              <w:bottom w:val="single" w:color="000000" w:sz="4" w:space="0"/>
              <w:right w:val="single" w:color="000000" w:sz="4" w:space="0"/>
            </w:tcBorders>
            <w:noWrap/>
            <w:vAlign w:val="center"/>
          </w:tcPr>
          <w:p w14:paraId="3D0AED01">
            <w:pPr>
              <w:jc w:val="center"/>
              <w:rPr>
                <w:rFonts w:hint="eastAsia" w:ascii="宋体" w:hAnsi="宋体" w:eastAsia="宋体" w:cs="宋体"/>
                <w:color w:val="000000"/>
                <w:szCs w:val="21"/>
              </w:rPr>
            </w:pPr>
          </w:p>
        </w:tc>
        <w:tc>
          <w:tcPr>
            <w:tcW w:w="855" w:type="pct"/>
            <w:tcBorders>
              <w:top w:val="single" w:color="000000" w:sz="4" w:space="0"/>
              <w:left w:val="single" w:color="000000" w:sz="4" w:space="0"/>
              <w:bottom w:val="single" w:color="000000" w:sz="4" w:space="0"/>
              <w:right w:val="single" w:color="000000" w:sz="4" w:space="0"/>
            </w:tcBorders>
            <w:noWrap/>
            <w:vAlign w:val="center"/>
          </w:tcPr>
          <w:p w14:paraId="54E2CEB6">
            <w:pPr>
              <w:widowControl/>
              <w:jc w:val="center"/>
              <w:textAlignment w:val="center"/>
              <w:rPr>
                <w:rFonts w:hint="default" w:ascii="Times New Roman" w:hAnsi="Times New Roman" w:eastAsia="Segoe UI" w:cs="Times New Roman"/>
                <w:i w:val="0"/>
                <w:iCs w:val="0"/>
                <w:caps w:val="0"/>
                <w:color w:val="0F1115"/>
                <w:spacing w:val="0"/>
                <w:sz w:val="24"/>
                <w:szCs w:val="24"/>
                <w:shd w:val="clear" w:fill="FFFFFF"/>
                <w:lang w:val="en-US" w:eastAsia="zh-CN"/>
              </w:rPr>
            </w:pPr>
            <w:r>
              <w:rPr>
                <w:rFonts w:hint="default" w:ascii="Times New Roman" w:hAnsi="Times New Roman" w:eastAsia="Segoe UI" w:cs="Times New Roman"/>
                <w:i w:val="0"/>
                <w:iCs w:val="0"/>
                <w:caps w:val="0"/>
                <w:color w:val="0F1115"/>
                <w:spacing w:val="0"/>
                <w:sz w:val="24"/>
                <w:szCs w:val="24"/>
                <w:shd w:val="clear" w:fill="FFFFFF"/>
                <w:lang w:val="en-US" w:eastAsia="zh-CN"/>
              </w:rPr>
              <w:t>Medium</w:t>
            </w:r>
          </w:p>
          <w:p w14:paraId="67330665">
            <w:pPr>
              <w:widowControl/>
              <w:jc w:val="center"/>
              <w:textAlignment w:val="center"/>
              <w:rPr>
                <w:rFonts w:hint="eastAsia" w:ascii="宋体" w:hAnsi="宋体" w:eastAsia="宋体" w:cs="宋体"/>
                <w:color w:val="000000"/>
                <w:szCs w:val="21"/>
              </w:rPr>
            </w:pPr>
            <w:r>
              <w:rPr>
                <w:rFonts w:hint="default" w:ascii="Times New Roman" w:hAnsi="Times New Roman" w:eastAsia="Segoe UI" w:cs="Times New Roman"/>
                <w:i w:val="0"/>
                <w:iCs w:val="0"/>
                <w:caps w:val="0"/>
                <w:color w:val="0F1115"/>
                <w:spacing w:val="0"/>
                <w:sz w:val="24"/>
                <w:szCs w:val="24"/>
                <w:shd w:val="clear" w:fill="FFFFFF"/>
                <w:lang w:val="en-US" w:eastAsia="zh-CN"/>
              </w:rPr>
              <w:t xml:space="preserve">sized </w:t>
            </w:r>
            <w:r>
              <w:rPr>
                <w:rFonts w:hint="eastAsia" w:ascii="Times New Roman" w:hAnsi="Times New Roman" w:eastAsia="Segoe UI" w:cs="Times New Roman"/>
                <w:i w:val="0"/>
                <w:iCs w:val="0"/>
                <w:caps w:val="0"/>
                <w:color w:val="0F1115"/>
                <w:spacing w:val="0"/>
                <w:sz w:val="24"/>
                <w:szCs w:val="24"/>
                <w:shd w:val="clear" w:fill="FFFFFF"/>
                <w:lang w:val="en-US" w:eastAsia="zh-CN"/>
              </w:rPr>
              <w:t>c</w:t>
            </w:r>
            <w:r>
              <w:rPr>
                <w:rFonts w:hint="default" w:ascii="Times New Roman" w:hAnsi="Times New Roman" w:eastAsia="Segoe UI" w:cs="Times New Roman"/>
                <w:i w:val="0"/>
                <w:iCs w:val="0"/>
                <w:caps w:val="0"/>
                <w:color w:val="0F1115"/>
                <w:spacing w:val="0"/>
                <w:sz w:val="24"/>
                <w:szCs w:val="24"/>
                <w:shd w:val="clear" w:fill="FFFFFF"/>
                <w:lang w:val="en-US" w:eastAsia="zh-CN"/>
              </w:rPr>
              <w:t>ity</w:t>
            </w:r>
          </w:p>
        </w:tc>
        <w:tc>
          <w:tcPr>
            <w:tcW w:w="1122" w:type="pct"/>
            <w:tcBorders>
              <w:top w:val="single" w:color="000000" w:sz="4" w:space="0"/>
              <w:left w:val="single" w:color="000000" w:sz="4" w:space="0"/>
              <w:bottom w:val="single" w:color="000000" w:sz="4" w:space="0"/>
              <w:right w:val="single" w:color="000000" w:sz="4" w:space="0"/>
            </w:tcBorders>
            <w:noWrap/>
            <w:vAlign w:val="center"/>
          </w:tcPr>
          <w:p w14:paraId="2B893206">
            <w:pPr>
              <w:widowControl/>
              <w:jc w:val="left"/>
              <w:textAlignment w:val="center"/>
              <w:rPr>
                <w:rFonts w:hint="eastAsia" w:ascii="宋体" w:hAnsi="宋体" w:eastAsia="宋体" w:cs="宋体"/>
                <w:color w:val="000000"/>
                <w:szCs w:val="21"/>
              </w:rPr>
            </w:pPr>
            <w:r>
              <w:rPr>
                <w:rFonts w:hint="eastAsia" w:ascii="Times New Roman" w:hAnsi="Times New Roman" w:eastAsia="Segoe UI" w:cs="Times New Roman"/>
                <w:i w:val="0"/>
                <w:iCs w:val="0"/>
                <w:caps w:val="0"/>
                <w:color w:val="0F1115"/>
                <w:spacing w:val="0"/>
                <w:sz w:val="24"/>
                <w:szCs w:val="24"/>
                <w:shd w:val="clear" w:fill="FFFFFF"/>
                <w:lang w:val="en-US" w:eastAsia="zh-CN"/>
              </w:rPr>
              <w:t>Deyang、Suining、Leshan、Meishan</w:t>
            </w:r>
          </w:p>
        </w:tc>
        <w:tc>
          <w:tcPr>
            <w:tcW w:w="2112" w:type="pct"/>
            <w:vMerge w:val="continue"/>
            <w:tcBorders>
              <w:top w:val="single" w:color="000000" w:sz="4" w:space="0"/>
              <w:left w:val="single" w:color="000000" w:sz="4" w:space="0"/>
              <w:bottom w:val="single" w:color="000000" w:sz="4" w:space="0"/>
              <w:right w:val="single" w:color="000000" w:sz="4" w:space="0"/>
            </w:tcBorders>
            <w:vAlign w:val="center"/>
          </w:tcPr>
          <w:p w14:paraId="4950E825">
            <w:pPr>
              <w:jc w:val="left"/>
              <w:rPr>
                <w:rFonts w:hint="eastAsia" w:ascii="宋体" w:hAnsi="宋体" w:eastAsia="宋体" w:cs="宋体"/>
                <w:color w:val="000000"/>
                <w:szCs w:val="21"/>
              </w:rPr>
            </w:pPr>
          </w:p>
        </w:tc>
      </w:tr>
      <w:tr w14:paraId="1E702EE0">
        <w:tblPrEx>
          <w:tblCellMar>
            <w:top w:w="0" w:type="dxa"/>
            <w:left w:w="108" w:type="dxa"/>
            <w:bottom w:w="0" w:type="dxa"/>
            <w:right w:w="108" w:type="dxa"/>
          </w:tblCellMar>
        </w:tblPrEx>
        <w:trPr>
          <w:trHeight w:val="480" w:hRule="atLeast"/>
        </w:trPr>
        <w:tc>
          <w:tcPr>
            <w:tcW w:w="909" w:type="pct"/>
            <w:vMerge w:val="continue"/>
            <w:tcBorders>
              <w:top w:val="single" w:color="000000" w:sz="4" w:space="0"/>
              <w:left w:val="single" w:color="000000" w:sz="4" w:space="0"/>
              <w:bottom w:val="single" w:color="000000" w:sz="4" w:space="0"/>
              <w:right w:val="single" w:color="000000" w:sz="4" w:space="0"/>
            </w:tcBorders>
            <w:noWrap/>
            <w:vAlign w:val="center"/>
          </w:tcPr>
          <w:p w14:paraId="10FCA489">
            <w:pPr>
              <w:jc w:val="center"/>
              <w:rPr>
                <w:rFonts w:hint="eastAsia" w:ascii="宋体" w:hAnsi="宋体" w:eastAsia="宋体" w:cs="宋体"/>
                <w:color w:val="000000"/>
                <w:szCs w:val="21"/>
              </w:rPr>
            </w:pPr>
          </w:p>
        </w:tc>
        <w:tc>
          <w:tcPr>
            <w:tcW w:w="855" w:type="pct"/>
            <w:tcBorders>
              <w:top w:val="single" w:color="000000" w:sz="4" w:space="0"/>
              <w:left w:val="single" w:color="000000" w:sz="4" w:space="0"/>
              <w:bottom w:val="single" w:color="000000" w:sz="4" w:space="0"/>
              <w:right w:val="single" w:color="000000" w:sz="4" w:space="0"/>
            </w:tcBorders>
            <w:noWrap/>
            <w:vAlign w:val="center"/>
          </w:tcPr>
          <w:p w14:paraId="6901F3D3">
            <w:pPr>
              <w:widowControl/>
              <w:jc w:val="center"/>
              <w:textAlignment w:val="center"/>
              <w:rPr>
                <w:rFonts w:hint="default" w:ascii="Times New Roman" w:hAnsi="Times New Roman" w:eastAsia="Segoe UI" w:cs="Times New Roman"/>
                <w:i w:val="0"/>
                <w:iCs w:val="0"/>
                <w:caps w:val="0"/>
                <w:color w:val="0F1115"/>
                <w:spacing w:val="0"/>
                <w:sz w:val="24"/>
                <w:szCs w:val="24"/>
                <w:shd w:val="clear" w:fill="FFFFFF"/>
                <w:lang w:val="en-US" w:eastAsia="zh-CN"/>
              </w:rPr>
            </w:pPr>
            <w:r>
              <w:rPr>
                <w:rFonts w:hint="default" w:ascii="Times New Roman" w:hAnsi="Times New Roman" w:eastAsia="Segoe UI" w:cs="Times New Roman"/>
                <w:i w:val="0"/>
                <w:iCs w:val="0"/>
                <w:caps w:val="0"/>
                <w:color w:val="0F1115"/>
                <w:spacing w:val="0"/>
                <w:sz w:val="24"/>
                <w:szCs w:val="24"/>
                <w:shd w:val="clear" w:fill="FFFFFF"/>
                <w:lang w:val="en-US" w:eastAsia="zh-CN"/>
              </w:rPr>
              <w:t>Type I</w:t>
            </w:r>
          </w:p>
          <w:p w14:paraId="140AA5BD">
            <w:pPr>
              <w:widowControl/>
              <w:jc w:val="center"/>
              <w:textAlignment w:val="center"/>
              <w:rPr>
                <w:rFonts w:hint="eastAsia" w:ascii="宋体" w:hAnsi="宋体" w:eastAsia="宋体" w:cs="宋体"/>
                <w:color w:val="000000"/>
                <w:szCs w:val="21"/>
              </w:rPr>
            </w:pPr>
            <w:r>
              <w:rPr>
                <w:rFonts w:hint="eastAsia" w:ascii="Times New Roman" w:hAnsi="Times New Roman" w:eastAsia="Segoe UI" w:cs="Times New Roman"/>
                <w:i w:val="0"/>
                <w:iCs w:val="0"/>
                <w:caps w:val="0"/>
                <w:color w:val="0F1115"/>
                <w:spacing w:val="0"/>
                <w:sz w:val="24"/>
                <w:szCs w:val="24"/>
                <w:shd w:val="clear" w:fill="FFFFFF"/>
                <w:lang w:val="en-US" w:eastAsia="zh-CN"/>
              </w:rPr>
              <w:t>l</w:t>
            </w:r>
            <w:r>
              <w:rPr>
                <w:rFonts w:hint="default" w:ascii="Times New Roman" w:hAnsi="Times New Roman" w:eastAsia="Segoe UI" w:cs="Times New Roman"/>
                <w:i w:val="0"/>
                <w:iCs w:val="0"/>
                <w:caps w:val="0"/>
                <w:color w:val="0F1115"/>
                <w:spacing w:val="0"/>
                <w:sz w:val="24"/>
                <w:szCs w:val="24"/>
                <w:shd w:val="clear" w:fill="FFFFFF"/>
                <w:lang w:val="en-US" w:eastAsia="zh-CN"/>
              </w:rPr>
              <w:t xml:space="preserve">arge </w:t>
            </w:r>
            <w:r>
              <w:rPr>
                <w:rFonts w:hint="eastAsia" w:ascii="Times New Roman" w:hAnsi="Times New Roman" w:eastAsia="Segoe UI" w:cs="Times New Roman"/>
                <w:i w:val="0"/>
                <w:iCs w:val="0"/>
                <w:caps w:val="0"/>
                <w:color w:val="0F1115"/>
                <w:spacing w:val="0"/>
                <w:sz w:val="24"/>
                <w:szCs w:val="24"/>
                <w:shd w:val="clear" w:fill="FFFFFF"/>
                <w:lang w:val="en-US" w:eastAsia="zh-CN"/>
              </w:rPr>
              <w:t>c</w:t>
            </w:r>
            <w:r>
              <w:rPr>
                <w:rFonts w:hint="default" w:ascii="Times New Roman" w:hAnsi="Times New Roman" w:eastAsia="Segoe UI" w:cs="Times New Roman"/>
                <w:i w:val="0"/>
                <w:iCs w:val="0"/>
                <w:caps w:val="0"/>
                <w:color w:val="0F1115"/>
                <w:spacing w:val="0"/>
                <w:sz w:val="24"/>
                <w:szCs w:val="24"/>
                <w:shd w:val="clear" w:fill="FFFFFF"/>
                <w:lang w:val="en-US" w:eastAsia="zh-CN"/>
              </w:rPr>
              <w:t>ity</w:t>
            </w:r>
          </w:p>
        </w:tc>
        <w:tc>
          <w:tcPr>
            <w:tcW w:w="1122" w:type="pct"/>
            <w:tcBorders>
              <w:top w:val="single" w:color="000000" w:sz="4" w:space="0"/>
              <w:left w:val="single" w:color="000000" w:sz="4" w:space="0"/>
              <w:bottom w:val="single" w:color="000000" w:sz="4" w:space="0"/>
              <w:right w:val="single" w:color="000000" w:sz="4" w:space="0"/>
            </w:tcBorders>
            <w:noWrap/>
            <w:vAlign w:val="center"/>
          </w:tcPr>
          <w:p w14:paraId="1EF6578F">
            <w:pPr>
              <w:widowControl/>
              <w:jc w:val="left"/>
              <w:textAlignment w:val="center"/>
              <w:rPr>
                <w:rFonts w:hint="eastAsia" w:ascii="宋体" w:hAnsi="宋体" w:eastAsia="宋体" w:cs="宋体"/>
                <w:color w:val="000000"/>
                <w:szCs w:val="21"/>
              </w:rPr>
            </w:pPr>
            <w:r>
              <w:rPr>
                <w:rFonts w:hint="eastAsia" w:ascii="Times New Roman" w:hAnsi="Times New Roman" w:eastAsia="Segoe UI" w:cs="Times New Roman"/>
                <w:i w:val="0"/>
                <w:iCs w:val="0"/>
                <w:caps w:val="0"/>
                <w:color w:val="0F1115"/>
                <w:spacing w:val="0"/>
                <w:sz w:val="24"/>
                <w:szCs w:val="24"/>
                <w:shd w:val="clear" w:fill="FFFFFF"/>
                <w:lang w:val="en-US" w:eastAsia="zh-CN"/>
              </w:rPr>
              <w:t>Ziyang、Ya'an</w:t>
            </w:r>
          </w:p>
        </w:tc>
        <w:tc>
          <w:tcPr>
            <w:tcW w:w="2112" w:type="pct"/>
            <w:vMerge w:val="continue"/>
            <w:tcBorders>
              <w:top w:val="single" w:color="000000" w:sz="4" w:space="0"/>
              <w:left w:val="single" w:color="000000" w:sz="4" w:space="0"/>
              <w:bottom w:val="single" w:color="000000" w:sz="4" w:space="0"/>
              <w:right w:val="single" w:color="000000" w:sz="4" w:space="0"/>
            </w:tcBorders>
            <w:vAlign w:val="center"/>
          </w:tcPr>
          <w:p w14:paraId="6B89BEF8">
            <w:pPr>
              <w:jc w:val="left"/>
              <w:rPr>
                <w:rFonts w:hint="eastAsia" w:ascii="宋体" w:hAnsi="宋体" w:eastAsia="宋体" w:cs="宋体"/>
                <w:color w:val="000000"/>
                <w:szCs w:val="21"/>
              </w:rPr>
            </w:pPr>
          </w:p>
        </w:tc>
      </w:tr>
      <w:tr w14:paraId="2EC18425">
        <w:tblPrEx>
          <w:tblCellMar>
            <w:top w:w="0" w:type="dxa"/>
            <w:left w:w="108" w:type="dxa"/>
            <w:bottom w:w="0" w:type="dxa"/>
            <w:right w:w="108" w:type="dxa"/>
          </w:tblCellMar>
        </w:tblPrEx>
        <w:trPr>
          <w:trHeight w:val="919" w:hRule="atLeast"/>
        </w:trPr>
        <w:tc>
          <w:tcPr>
            <w:tcW w:w="909" w:type="pct"/>
            <w:vMerge w:val="restart"/>
            <w:tcBorders>
              <w:top w:val="single" w:color="000000" w:sz="4" w:space="0"/>
              <w:left w:val="single" w:color="000000" w:sz="4" w:space="0"/>
              <w:bottom w:val="single" w:color="000000" w:sz="4" w:space="0"/>
              <w:right w:val="single" w:color="000000" w:sz="4" w:space="0"/>
            </w:tcBorders>
            <w:noWrap/>
            <w:vAlign w:val="center"/>
          </w:tcPr>
          <w:p w14:paraId="50C307BD">
            <w:pPr>
              <w:widowControl/>
              <w:jc w:val="center"/>
              <w:textAlignment w:val="center"/>
              <w:rPr>
                <w:rFonts w:hint="eastAsia" w:ascii="宋体" w:hAnsi="宋体" w:eastAsia="宋体" w:cs="宋体"/>
                <w:color w:val="000000"/>
                <w:szCs w:val="21"/>
              </w:rPr>
            </w:pPr>
            <w:r>
              <w:rPr>
                <w:rFonts w:hint="default" w:ascii="Times New Roman" w:hAnsi="Times New Roman" w:eastAsia="Segoe UI" w:cs="Times New Roman"/>
                <w:i w:val="0"/>
                <w:iCs w:val="0"/>
                <w:caps w:val="0"/>
                <w:color w:val="0F1115"/>
                <w:spacing w:val="0"/>
                <w:kern w:val="2"/>
                <w:sz w:val="24"/>
                <w:szCs w:val="24"/>
                <w:shd w:val="clear" w:fill="FFFFFF"/>
                <w:lang w:val="en-US" w:eastAsia="zh-CN" w:bidi="ar-SA"/>
              </w:rPr>
              <w:t>Northeastern Sichuan</w:t>
            </w:r>
          </w:p>
        </w:tc>
        <w:tc>
          <w:tcPr>
            <w:tcW w:w="855" w:type="pct"/>
            <w:tcBorders>
              <w:top w:val="single" w:color="000000" w:sz="4" w:space="0"/>
              <w:left w:val="single" w:color="000000" w:sz="4" w:space="0"/>
              <w:bottom w:val="single" w:color="000000" w:sz="4" w:space="0"/>
              <w:right w:val="single" w:color="000000" w:sz="4" w:space="0"/>
            </w:tcBorders>
            <w:noWrap/>
            <w:vAlign w:val="center"/>
          </w:tcPr>
          <w:p w14:paraId="46DBAF6A">
            <w:pPr>
              <w:widowControl/>
              <w:jc w:val="center"/>
              <w:textAlignment w:val="center"/>
              <w:rPr>
                <w:rFonts w:hint="default" w:ascii="Times New Roman" w:hAnsi="Times New Roman" w:eastAsia="Segoe UI" w:cs="Times New Roman"/>
                <w:i w:val="0"/>
                <w:iCs w:val="0"/>
                <w:caps w:val="0"/>
                <w:color w:val="0F1115"/>
                <w:spacing w:val="0"/>
                <w:sz w:val="24"/>
                <w:szCs w:val="24"/>
                <w:shd w:val="clear" w:fill="FFFFFF"/>
                <w:lang w:val="en-US" w:eastAsia="zh-CN"/>
              </w:rPr>
            </w:pPr>
            <w:r>
              <w:rPr>
                <w:rFonts w:hint="default" w:ascii="Times New Roman" w:hAnsi="Times New Roman" w:eastAsia="Segoe UI" w:cs="Times New Roman"/>
                <w:i w:val="0"/>
                <w:iCs w:val="0"/>
                <w:caps w:val="0"/>
                <w:color w:val="0F1115"/>
                <w:spacing w:val="0"/>
                <w:sz w:val="24"/>
                <w:szCs w:val="24"/>
                <w:shd w:val="clear" w:fill="FFFFFF"/>
                <w:lang w:val="en-US" w:eastAsia="zh-CN"/>
              </w:rPr>
              <w:t>Type II</w:t>
            </w:r>
          </w:p>
          <w:p w14:paraId="237B7F30">
            <w:pPr>
              <w:widowControl/>
              <w:jc w:val="center"/>
              <w:textAlignment w:val="center"/>
              <w:rPr>
                <w:rFonts w:hint="eastAsia" w:ascii="宋体" w:hAnsi="宋体" w:eastAsia="宋体" w:cs="宋体"/>
                <w:color w:val="000000"/>
                <w:szCs w:val="21"/>
              </w:rPr>
            </w:pPr>
            <w:r>
              <w:rPr>
                <w:rFonts w:hint="eastAsia" w:ascii="Times New Roman" w:hAnsi="Times New Roman" w:eastAsia="Segoe UI" w:cs="Times New Roman"/>
                <w:i w:val="0"/>
                <w:iCs w:val="0"/>
                <w:caps w:val="0"/>
                <w:color w:val="0F1115"/>
                <w:spacing w:val="0"/>
                <w:sz w:val="24"/>
                <w:szCs w:val="24"/>
                <w:shd w:val="clear" w:fill="FFFFFF"/>
                <w:lang w:val="en-US" w:eastAsia="zh-CN"/>
              </w:rPr>
              <w:t>l</w:t>
            </w:r>
            <w:r>
              <w:rPr>
                <w:rFonts w:hint="default" w:ascii="Times New Roman" w:hAnsi="Times New Roman" w:eastAsia="Segoe UI" w:cs="Times New Roman"/>
                <w:i w:val="0"/>
                <w:iCs w:val="0"/>
                <w:caps w:val="0"/>
                <w:color w:val="0F1115"/>
                <w:spacing w:val="0"/>
                <w:sz w:val="24"/>
                <w:szCs w:val="24"/>
                <w:shd w:val="clear" w:fill="FFFFFF"/>
                <w:lang w:val="en-US" w:eastAsia="zh-CN"/>
              </w:rPr>
              <w:t xml:space="preserve">arge </w:t>
            </w:r>
            <w:r>
              <w:rPr>
                <w:rFonts w:hint="eastAsia" w:ascii="Times New Roman" w:hAnsi="Times New Roman" w:eastAsia="Segoe UI" w:cs="Times New Roman"/>
                <w:i w:val="0"/>
                <w:iCs w:val="0"/>
                <w:caps w:val="0"/>
                <w:color w:val="0F1115"/>
                <w:spacing w:val="0"/>
                <w:sz w:val="24"/>
                <w:szCs w:val="24"/>
                <w:shd w:val="clear" w:fill="FFFFFF"/>
                <w:lang w:val="en-US" w:eastAsia="zh-CN"/>
              </w:rPr>
              <w:t>c</w:t>
            </w:r>
            <w:r>
              <w:rPr>
                <w:rFonts w:hint="default" w:ascii="Times New Roman" w:hAnsi="Times New Roman" w:eastAsia="Segoe UI" w:cs="Times New Roman"/>
                <w:i w:val="0"/>
                <w:iCs w:val="0"/>
                <w:caps w:val="0"/>
                <w:color w:val="0F1115"/>
                <w:spacing w:val="0"/>
                <w:sz w:val="24"/>
                <w:szCs w:val="24"/>
                <w:shd w:val="clear" w:fill="FFFFFF"/>
                <w:lang w:val="en-US" w:eastAsia="zh-CN"/>
              </w:rPr>
              <w:t>ity</w:t>
            </w:r>
          </w:p>
        </w:tc>
        <w:tc>
          <w:tcPr>
            <w:tcW w:w="1122" w:type="pct"/>
            <w:tcBorders>
              <w:top w:val="single" w:color="000000" w:sz="4" w:space="0"/>
              <w:left w:val="single" w:color="000000" w:sz="4" w:space="0"/>
              <w:bottom w:val="single" w:color="000000" w:sz="4" w:space="0"/>
              <w:right w:val="single" w:color="000000" w:sz="4" w:space="0"/>
            </w:tcBorders>
            <w:noWrap/>
            <w:vAlign w:val="center"/>
          </w:tcPr>
          <w:p w14:paraId="3413993C">
            <w:pPr>
              <w:widowControl/>
              <w:jc w:val="left"/>
              <w:textAlignment w:val="center"/>
              <w:rPr>
                <w:rFonts w:hint="default" w:ascii="宋体" w:hAnsi="宋体" w:eastAsia="宋体" w:cs="宋体"/>
                <w:color w:val="000000"/>
                <w:szCs w:val="21"/>
                <w:lang w:val="en-US" w:eastAsia="zh-CN"/>
              </w:rPr>
            </w:pPr>
            <w:r>
              <w:rPr>
                <w:rFonts w:hint="eastAsia" w:ascii="Times New Roman" w:hAnsi="Times New Roman" w:eastAsia="Segoe UI" w:cs="Times New Roman"/>
                <w:i w:val="0"/>
                <w:iCs w:val="0"/>
                <w:caps w:val="0"/>
                <w:color w:val="0F1115"/>
                <w:spacing w:val="0"/>
                <w:sz w:val="24"/>
                <w:szCs w:val="24"/>
                <w:shd w:val="clear" w:fill="FFFFFF"/>
                <w:lang w:val="en-US" w:eastAsia="zh-CN"/>
              </w:rPr>
              <w:t>Nanchong</w:t>
            </w:r>
          </w:p>
        </w:tc>
        <w:tc>
          <w:tcPr>
            <w:tcW w:w="2112" w:type="pct"/>
            <w:vMerge w:val="restart"/>
            <w:tcBorders>
              <w:top w:val="single" w:color="000000" w:sz="4" w:space="0"/>
              <w:left w:val="single" w:color="000000" w:sz="4" w:space="0"/>
              <w:bottom w:val="single" w:color="000000" w:sz="4" w:space="0"/>
              <w:right w:val="single" w:color="000000" w:sz="4" w:space="0"/>
            </w:tcBorders>
            <w:vAlign w:val="center"/>
          </w:tcPr>
          <w:p w14:paraId="6EEA54BB">
            <w:pPr>
              <w:widowControl/>
              <w:jc w:val="left"/>
              <w:textAlignment w:val="center"/>
              <w:rPr>
                <w:rFonts w:hint="eastAsia" w:ascii="宋体" w:hAnsi="宋体" w:eastAsia="宋体" w:cs="宋体"/>
                <w:color w:val="000000"/>
                <w:szCs w:val="21"/>
              </w:rPr>
            </w:pPr>
            <w:r>
              <w:rPr>
                <w:rFonts w:hint="eastAsia" w:ascii="Times New Roman" w:hAnsi="Times New Roman" w:eastAsia="Segoe UI" w:cs="Times New Roman"/>
                <w:i w:val="0"/>
                <w:iCs w:val="0"/>
                <w:caps w:val="0"/>
                <w:color w:val="0F1115"/>
                <w:spacing w:val="0"/>
                <w:sz w:val="24"/>
                <w:szCs w:val="24"/>
                <w:shd w:val="clear" w:fill="FFFFFF"/>
                <w:lang w:val="en-US" w:eastAsia="zh-CN"/>
              </w:rPr>
              <w:t>The Northeast Sichuan Economic Zone is relatively underdeveloped economically. Urban centers at all levels are generally small in scale, with key cities such as Nanchong and Dazhou exhibiting limited radiating and driving effects. Some towns and counties face risks of population outflow. Urbanization progress lags behind, accompanied by deficiencies in infrastructure and public services.</w:t>
            </w:r>
          </w:p>
        </w:tc>
      </w:tr>
      <w:tr w14:paraId="75707A42">
        <w:tblPrEx>
          <w:tblCellMar>
            <w:top w:w="0" w:type="dxa"/>
            <w:left w:w="108" w:type="dxa"/>
            <w:bottom w:w="0" w:type="dxa"/>
            <w:right w:w="108" w:type="dxa"/>
          </w:tblCellMar>
        </w:tblPrEx>
        <w:trPr>
          <w:trHeight w:val="844" w:hRule="atLeast"/>
        </w:trPr>
        <w:tc>
          <w:tcPr>
            <w:tcW w:w="909" w:type="pct"/>
            <w:vMerge w:val="continue"/>
            <w:tcBorders>
              <w:top w:val="single" w:color="000000" w:sz="4" w:space="0"/>
              <w:left w:val="single" w:color="000000" w:sz="4" w:space="0"/>
              <w:bottom w:val="single" w:color="000000" w:sz="4" w:space="0"/>
              <w:right w:val="single" w:color="000000" w:sz="4" w:space="0"/>
            </w:tcBorders>
            <w:noWrap/>
            <w:vAlign w:val="center"/>
          </w:tcPr>
          <w:p w14:paraId="50F73CCF">
            <w:pPr>
              <w:jc w:val="center"/>
              <w:rPr>
                <w:rFonts w:hint="eastAsia" w:ascii="宋体" w:hAnsi="宋体" w:eastAsia="宋体" w:cs="宋体"/>
                <w:color w:val="000000"/>
                <w:szCs w:val="21"/>
              </w:rPr>
            </w:pPr>
          </w:p>
        </w:tc>
        <w:tc>
          <w:tcPr>
            <w:tcW w:w="855" w:type="pct"/>
            <w:tcBorders>
              <w:top w:val="single" w:color="000000" w:sz="4" w:space="0"/>
              <w:left w:val="single" w:color="000000" w:sz="4" w:space="0"/>
              <w:bottom w:val="single" w:color="000000" w:sz="4" w:space="0"/>
              <w:right w:val="single" w:color="000000" w:sz="4" w:space="0"/>
            </w:tcBorders>
            <w:noWrap/>
            <w:vAlign w:val="center"/>
          </w:tcPr>
          <w:p w14:paraId="705822E0">
            <w:pPr>
              <w:widowControl/>
              <w:jc w:val="center"/>
              <w:textAlignment w:val="center"/>
              <w:rPr>
                <w:rFonts w:hint="default" w:ascii="Times New Roman" w:hAnsi="Times New Roman" w:eastAsia="Segoe UI" w:cs="Times New Roman"/>
                <w:i w:val="0"/>
                <w:iCs w:val="0"/>
                <w:caps w:val="0"/>
                <w:color w:val="0F1115"/>
                <w:spacing w:val="0"/>
                <w:sz w:val="24"/>
                <w:szCs w:val="24"/>
                <w:shd w:val="clear" w:fill="FFFFFF"/>
                <w:lang w:val="en-US" w:eastAsia="zh-CN"/>
              </w:rPr>
            </w:pPr>
            <w:r>
              <w:rPr>
                <w:rFonts w:hint="default" w:ascii="Times New Roman" w:hAnsi="Times New Roman" w:eastAsia="Segoe UI" w:cs="Times New Roman"/>
                <w:i w:val="0"/>
                <w:iCs w:val="0"/>
                <w:caps w:val="0"/>
                <w:color w:val="0F1115"/>
                <w:spacing w:val="0"/>
                <w:sz w:val="24"/>
                <w:szCs w:val="24"/>
                <w:shd w:val="clear" w:fill="FFFFFF"/>
                <w:lang w:val="en-US" w:eastAsia="zh-CN"/>
              </w:rPr>
              <w:t>Medium</w:t>
            </w:r>
          </w:p>
          <w:p w14:paraId="66FAEE97">
            <w:pPr>
              <w:widowControl/>
              <w:jc w:val="center"/>
              <w:textAlignment w:val="center"/>
              <w:rPr>
                <w:rFonts w:hint="eastAsia" w:ascii="宋体" w:hAnsi="宋体" w:eastAsia="宋体" w:cs="宋体"/>
                <w:color w:val="000000"/>
                <w:szCs w:val="21"/>
              </w:rPr>
            </w:pPr>
            <w:r>
              <w:rPr>
                <w:rFonts w:hint="default" w:ascii="Times New Roman" w:hAnsi="Times New Roman" w:eastAsia="Segoe UI" w:cs="Times New Roman"/>
                <w:i w:val="0"/>
                <w:iCs w:val="0"/>
                <w:caps w:val="0"/>
                <w:color w:val="0F1115"/>
                <w:spacing w:val="0"/>
                <w:sz w:val="24"/>
                <w:szCs w:val="24"/>
                <w:shd w:val="clear" w:fill="FFFFFF"/>
                <w:lang w:val="en-US" w:eastAsia="zh-CN"/>
              </w:rPr>
              <w:t xml:space="preserve">sized </w:t>
            </w:r>
            <w:r>
              <w:rPr>
                <w:rFonts w:hint="eastAsia" w:ascii="Times New Roman" w:hAnsi="Times New Roman" w:eastAsia="Segoe UI" w:cs="Times New Roman"/>
                <w:i w:val="0"/>
                <w:iCs w:val="0"/>
                <w:caps w:val="0"/>
                <w:color w:val="0F1115"/>
                <w:spacing w:val="0"/>
                <w:sz w:val="24"/>
                <w:szCs w:val="24"/>
                <w:shd w:val="clear" w:fill="FFFFFF"/>
                <w:lang w:val="en-US" w:eastAsia="zh-CN"/>
              </w:rPr>
              <w:t>c</w:t>
            </w:r>
            <w:r>
              <w:rPr>
                <w:rFonts w:hint="default" w:ascii="Times New Roman" w:hAnsi="Times New Roman" w:eastAsia="Segoe UI" w:cs="Times New Roman"/>
                <w:i w:val="0"/>
                <w:iCs w:val="0"/>
                <w:caps w:val="0"/>
                <w:color w:val="0F1115"/>
                <w:spacing w:val="0"/>
                <w:sz w:val="24"/>
                <w:szCs w:val="24"/>
                <w:shd w:val="clear" w:fill="FFFFFF"/>
                <w:lang w:val="en-US" w:eastAsia="zh-CN"/>
              </w:rPr>
              <w:t>ity</w:t>
            </w:r>
          </w:p>
        </w:tc>
        <w:tc>
          <w:tcPr>
            <w:tcW w:w="1122" w:type="pct"/>
            <w:tcBorders>
              <w:top w:val="single" w:color="000000" w:sz="4" w:space="0"/>
              <w:left w:val="single" w:color="000000" w:sz="4" w:space="0"/>
              <w:bottom w:val="single" w:color="000000" w:sz="4" w:space="0"/>
              <w:right w:val="single" w:color="000000" w:sz="4" w:space="0"/>
            </w:tcBorders>
            <w:noWrap/>
            <w:vAlign w:val="center"/>
          </w:tcPr>
          <w:p w14:paraId="59269FF4">
            <w:pPr>
              <w:widowControl/>
              <w:jc w:val="left"/>
              <w:textAlignment w:val="center"/>
              <w:rPr>
                <w:rFonts w:hint="default" w:ascii="宋体" w:hAnsi="宋体" w:eastAsia="宋体" w:cs="宋体"/>
                <w:color w:val="000000"/>
                <w:szCs w:val="21"/>
                <w:lang w:val="en-US" w:eastAsia="zh-CN"/>
              </w:rPr>
            </w:pPr>
            <w:r>
              <w:rPr>
                <w:rFonts w:hint="eastAsia" w:ascii="Times New Roman" w:hAnsi="Times New Roman" w:eastAsia="Segoe UI" w:cs="Times New Roman"/>
                <w:i w:val="0"/>
                <w:iCs w:val="0"/>
                <w:caps w:val="0"/>
                <w:color w:val="0F1115"/>
                <w:spacing w:val="0"/>
                <w:sz w:val="24"/>
                <w:szCs w:val="24"/>
                <w:shd w:val="clear" w:fill="FFFFFF"/>
                <w:lang w:val="en-US" w:eastAsia="zh-CN"/>
              </w:rPr>
              <w:t xml:space="preserve">Dazhou </w:t>
            </w:r>
          </w:p>
        </w:tc>
        <w:tc>
          <w:tcPr>
            <w:tcW w:w="2112" w:type="pct"/>
            <w:vMerge w:val="continue"/>
            <w:tcBorders>
              <w:top w:val="single" w:color="000000" w:sz="4" w:space="0"/>
              <w:left w:val="single" w:color="000000" w:sz="4" w:space="0"/>
              <w:bottom w:val="single" w:color="000000" w:sz="4" w:space="0"/>
              <w:right w:val="single" w:color="000000" w:sz="4" w:space="0"/>
            </w:tcBorders>
            <w:vAlign w:val="center"/>
          </w:tcPr>
          <w:p w14:paraId="39D32CF5">
            <w:pPr>
              <w:jc w:val="left"/>
              <w:rPr>
                <w:rFonts w:hint="eastAsia" w:ascii="宋体" w:hAnsi="宋体" w:eastAsia="宋体" w:cs="宋体"/>
                <w:color w:val="000000"/>
                <w:szCs w:val="21"/>
              </w:rPr>
            </w:pPr>
          </w:p>
        </w:tc>
      </w:tr>
      <w:tr w14:paraId="229B3279">
        <w:tblPrEx>
          <w:tblCellMar>
            <w:top w:w="0" w:type="dxa"/>
            <w:left w:w="108" w:type="dxa"/>
            <w:bottom w:w="0" w:type="dxa"/>
            <w:right w:w="108" w:type="dxa"/>
          </w:tblCellMar>
        </w:tblPrEx>
        <w:trPr>
          <w:trHeight w:val="854" w:hRule="atLeast"/>
        </w:trPr>
        <w:tc>
          <w:tcPr>
            <w:tcW w:w="909" w:type="pct"/>
            <w:vMerge w:val="continue"/>
            <w:tcBorders>
              <w:top w:val="single" w:color="000000" w:sz="4" w:space="0"/>
              <w:left w:val="single" w:color="000000" w:sz="4" w:space="0"/>
              <w:bottom w:val="single" w:color="000000" w:sz="4" w:space="0"/>
              <w:right w:val="single" w:color="000000" w:sz="4" w:space="0"/>
            </w:tcBorders>
            <w:noWrap/>
            <w:vAlign w:val="center"/>
          </w:tcPr>
          <w:p w14:paraId="770F2C36">
            <w:pPr>
              <w:jc w:val="center"/>
              <w:rPr>
                <w:rFonts w:hint="eastAsia" w:ascii="宋体" w:hAnsi="宋体" w:eastAsia="宋体" w:cs="宋体"/>
                <w:color w:val="000000"/>
                <w:szCs w:val="21"/>
              </w:rPr>
            </w:pPr>
          </w:p>
        </w:tc>
        <w:tc>
          <w:tcPr>
            <w:tcW w:w="855" w:type="pct"/>
            <w:tcBorders>
              <w:top w:val="single" w:color="000000" w:sz="4" w:space="0"/>
              <w:left w:val="single" w:color="000000" w:sz="4" w:space="0"/>
              <w:bottom w:val="single" w:color="000000" w:sz="4" w:space="0"/>
              <w:right w:val="single" w:color="000000" w:sz="4" w:space="0"/>
            </w:tcBorders>
            <w:noWrap/>
            <w:vAlign w:val="center"/>
          </w:tcPr>
          <w:p w14:paraId="5773EE39">
            <w:pPr>
              <w:widowControl/>
              <w:jc w:val="center"/>
              <w:textAlignment w:val="center"/>
              <w:rPr>
                <w:rFonts w:hint="default" w:ascii="Times New Roman" w:hAnsi="Times New Roman" w:eastAsia="Segoe UI" w:cs="Times New Roman"/>
                <w:i w:val="0"/>
                <w:iCs w:val="0"/>
                <w:caps w:val="0"/>
                <w:color w:val="0F1115"/>
                <w:spacing w:val="0"/>
                <w:sz w:val="24"/>
                <w:szCs w:val="24"/>
                <w:shd w:val="clear" w:fill="FFFFFF"/>
                <w:lang w:val="en-US" w:eastAsia="zh-CN"/>
              </w:rPr>
            </w:pPr>
            <w:r>
              <w:rPr>
                <w:rFonts w:hint="default" w:ascii="Times New Roman" w:hAnsi="Times New Roman" w:eastAsia="Segoe UI" w:cs="Times New Roman"/>
                <w:i w:val="0"/>
                <w:iCs w:val="0"/>
                <w:caps w:val="0"/>
                <w:color w:val="0F1115"/>
                <w:spacing w:val="0"/>
                <w:sz w:val="24"/>
                <w:szCs w:val="24"/>
                <w:shd w:val="clear" w:fill="FFFFFF"/>
                <w:lang w:val="en-US" w:eastAsia="zh-CN"/>
              </w:rPr>
              <w:t>Type I</w:t>
            </w:r>
          </w:p>
          <w:p w14:paraId="2F854949">
            <w:pPr>
              <w:widowControl/>
              <w:jc w:val="center"/>
              <w:textAlignment w:val="center"/>
              <w:rPr>
                <w:rFonts w:hint="eastAsia" w:ascii="宋体" w:hAnsi="宋体" w:eastAsia="宋体" w:cs="宋体"/>
                <w:color w:val="000000"/>
                <w:szCs w:val="21"/>
              </w:rPr>
            </w:pPr>
            <w:r>
              <w:rPr>
                <w:rFonts w:hint="eastAsia" w:ascii="Times New Roman" w:hAnsi="Times New Roman" w:eastAsia="Segoe UI" w:cs="Times New Roman"/>
                <w:i w:val="0"/>
                <w:iCs w:val="0"/>
                <w:caps w:val="0"/>
                <w:color w:val="0F1115"/>
                <w:spacing w:val="0"/>
                <w:sz w:val="24"/>
                <w:szCs w:val="24"/>
                <w:shd w:val="clear" w:fill="FFFFFF"/>
                <w:lang w:val="en-US" w:eastAsia="zh-CN"/>
              </w:rPr>
              <w:t>small</w:t>
            </w:r>
            <w:r>
              <w:rPr>
                <w:rFonts w:hint="default" w:ascii="Times New Roman" w:hAnsi="Times New Roman" w:eastAsia="Segoe UI" w:cs="Times New Roman"/>
                <w:i w:val="0"/>
                <w:iCs w:val="0"/>
                <w:caps w:val="0"/>
                <w:color w:val="0F1115"/>
                <w:spacing w:val="0"/>
                <w:sz w:val="24"/>
                <w:szCs w:val="24"/>
                <w:shd w:val="clear" w:fill="FFFFFF"/>
                <w:lang w:val="en-US" w:eastAsia="zh-CN"/>
              </w:rPr>
              <w:t xml:space="preserve"> </w:t>
            </w:r>
            <w:r>
              <w:rPr>
                <w:rFonts w:hint="eastAsia" w:ascii="Times New Roman" w:hAnsi="Times New Roman" w:eastAsia="Segoe UI" w:cs="Times New Roman"/>
                <w:i w:val="0"/>
                <w:iCs w:val="0"/>
                <w:caps w:val="0"/>
                <w:color w:val="0F1115"/>
                <w:spacing w:val="0"/>
                <w:sz w:val="24"/>
                <w:szCs w:val="24"/>
                <w:shd w:val="clear" w:fill="FFFFFF"/>
                <w:lang w:val="en-US" w:eastAsia="zh-CN"/>
              </w:rPr>
              <w:t>c</w:t>
            </w:r>
            <w:r>
              <w:rPr>
                <w:rFonts w:hint="default" w:ascii="Times New Roman" w:hAnsi="Times New Roman" w:eastAsia="Segoe UI" w:cs="Times New Roman"/>
                <w:i w:val="0"/>
                <w:iCs w:val="0"/>
                <w:caps w:val="0"/>
                <w:color w:val="0F1115"/>
                <w:spacing w:val="0"/>
                <w:sz w:val="24"/>
                <w:szCs w:val="24"/>
                <w:shd w:val="clear" w:fill="FFFFFF"/>
                <w:lang w:val="en-US" w:eastAsia="zh-CN"/>
              </w:rPr>
              <w:t>ity</w:t>
            </w:r>
          </w:p>
        </w:tc>
        <w:tc>
          <w:tcPr>
            <w:tcW w:w="1122" w:type="pct"/>
            <w:tcBorders>
              <w:top w:val="single" w:color="000000" w:sz="4" w:space="0"/>
              <w:left w:val="single" w:color="000000" w:sz="4" w:space="0"/>
              <w:bottom w:val="single" w:color="000000" w:sz="4" w:space="0"/>
              <w:right w:val="single" w:color="000000" w:sz="4" w:space="0"/>
            </w:tcBorders>
            <w:noWrap/>
            <w:vAlign w:val="center"/>
          </w:tcPr>
          <w:p w14:paraId="1388C95A">
            <w:pPr>
              <w:widowControl/>
              <w:jc w:val="left"/>
              <w:textAlignment w:val="center"/>
              <w:rPr>
                <w:rFonts w:hint="eastAsia" w:ascii="宋体" w:hAnsi="宋体" w:eastAsia="宋体" w:cs="宋体"/>
                <w:color w:val="000000"/>
                <w:szCs w:val="21"/>
              </w:rPr>
            </w:pPr>
            <w:r>
              <w:rPr>
                <w:rFonts w:hint="eastAsia" w:ascii="Times New Roman" w:hAnsi="Times New Roman" w:eastAsia="Segoe UI" w:cs="Times New Roman"/>
                <w:i w:val="0"/>
                <w:iCs w:val="0"/>
                <w:caps w:val="0"/>
                <w:color w:val="0F1115"/>
                <w:spacing w:val="0"/>
                <w:sz w:val="24"/>
                <w:szCs w:val="24"/>
                <w:shd w:val="clear" w:fill="FFFFFF"/>
                <w:lang w:val="en-US" w:eastAsia="zh-CN"/>
              </w:rPr>
              <w:t>Guangyuan、Guang</w:t>
            </w:r>
            <w:r>
              <w:rPr>
                <w:rFonts w:hint="default" w:ascii="Times New Roman" w:hAnsi="Times New Roman" w:eastAsia="Segoe UI" w:cs="Times New Roman"/>
                <w:i w:val="0"/>
                <w:iCs w:val="0"/>
                <w:caps w:val="0"/>
                <w:color w:val="0F1115"/>
                <w:spacing w:val="0"/>
                <w:sz w:val="24"/>
                <w:szCs w:val="24"/>
                <w:shd w:val="clear" w:fill="FFFFFF"/>
                <w:lang w:val="en-US" w:eastAsia="zh-CN"/>
              </w:rPr>
              <w:t>’</w:t>
            </w:r>
            <w:r>
              <w:rPr>
                <w:rFonts w:hint="eastAsia" w:ascii="Times New Roman" w:hAnsi="Times New Roman" w:eastAsia="Segoe UI" w:cs="Times New Roman"/>
                <w:i w:val="0"/>
                <w:iCs w:val="0"/>
                <w:caps w:val="0"/>
                <w:color w:val="0F1115"/>
                <w:spacing w:val="0"/>
                <w:sz w:val="24"/>
                <w:szCs w:val="24"/>
                <w:shd w:val="clear" w:fill="FFFFFF"/>
                <w:lang w:val="en-US" w:eastAsia="zh-CN"/>
              </w:rPr>
              <w:t>an、Bazhong</w:t>
            </w:r>
          </w:p>
        </w:tc>
        <w:tc>
          <w:tcPr>
            <w:tcW w:w="2112" w:type="pct"/>
            <w:vMerge w:val="continue"/>
            <w:tcBorders>
              <w:top w:val="single" w:color="000000" w:sz="4" w:space="0"/>
              <w:left w:val="single" w:color="000000" w:sz="4" w:space="0"/>
              <w:bottom w:val="single" w:color="000000" w:sz="4" w:space="0"/>
              <w:right w:val="single" w:color="000000" w:sz="4" w:space="0"/>
            </w:tcBorders>
            <w:vAlign w:val="center"/>
          </w:tcPr>
          <w:p w14:paraId="01A14330">
            <w:pPr>
              <w:jc w:val="left"/>
              <w:rPr>
                <w:rFonts w:hint="eastAsia" w:ascii="宋体" w:hAnsi="宋体" w:eastAsia="宋体" w:cs="宋体"/>
                <w:color w:val="000000"/>
                <w:szCs w:val="21"/>
              </w:rPr>
            </w:pPr>
          </w:p>
        </w:tc>
      </w:tr>
      <w:tr w14:paraId="592EA27F">
        <w:tblPrEx>
          <w:tblCellMar>
            <w:top w:w="0" w:type="dxa"/>
            <w:left w:w="108" w:type="dxa"/>
            <w:bottom w:w="0" w:type="dxa"/>
            <w:right w:w="108" w:type="dxa"/>
          </w:tblCellMar>
        </w:tblPrEx>
        <w:trPr>
          <w:trHeight w:val="1045" w:hRule="atLeast"/>
        </w:trPr>
        <w:tc>
          <w:tcPr>
            <w:tcW w:w="909" w:type="pct"/>
            <w:vMerge w:val="restart"/>
            <w:tcBorders>
              <w:top w:val="single" w:color="000000" w:sz="4" w:space="0"/>
              <w:left w:val="single" w:color="000000" w:sz="4" w:space="0"/>
              <w:bottom w:val="single" w:color="000000" w:sz="4" w:space="0"/>
              <w:right w:val="single" w:color="000000" w:sz="4" w:space="0"/>
            </w:tcBorders>
            <w:noWrap/>
            <w:vAlign w:val="center"/>
          </w:tcPr>
          <w:p w14:paraId="36EC21FA">
            <w:pPr>
              <w:widowControl/>
              <w:jc w:val="center"/>
              <w:textAlignment w:val="center"/>
              <w:rPr>
                <w:rFonts w:hint="eastAsia" w:ascii="宋体" w:hAnsi="宋体" w:eastAsia="宋体" w:cs="宋体"/>
                <w:color w:val="000000"/>
                <w:szCs w:val="21"/>
              </w:rPr>
            </w:pPr>
            <w:r>
              <w:rPr>
                <w:rFonts w:hint="default" w:ascii="Times New Roman" w:hAnsi="Times New Roman" w:eastAsia="Segoe UI" w:cs="Times New Roman"/>
                <w:i w:val="0"/>
                <w:iCs w:val="0"/>
                <w:caps w:val="0"/>
                <w:color w:val="0F1115"/>
                <w:spacing w:val="0"/>
                <w:kern w:val="2"/>
                <w:sz w:val="24"/>
                <w:szCs w:val="24"/>
                <w:shd w:val="clear" w:fill="FFFFFF"/>
                <w:lang w:val="en-US" w:eastAsia="zh-CN" w:bidi="ar-SA"/>
              </w:rPr>
              <w:t>Southern Sichuan</w:t>
            </w:r>
          </w:p>
        </w:tc>
        <w:tc>
          <w:tcPr>
            <w:tcW w:w="855" w:type="pct"/>
            <w:tcBorders>
              <w:top w:val="single" w:color="000000" w:sz="4" w:space="0"/>
              <w:left w:val="single" w:color="000000" w:sz="4" w:space="0"/>
              <w:bottom w:val="single" w:color="000000" w:sz="4" w:space="0"/>
              <w:right w:val="single" w:color="000000" w:sz="4" w:space="0"/>
            </w:tcBorders>
            <w:noWrap/>
            <w:vAlign w:val="center"/>
          </w:tcPr>
          <w:p w14:paraId="12AFEED7">
            <w:pPr>
              <w:widowControl/>
              <w:jc w:val="center"/>
              <w:textAlignment w:val="center"/>
              <w:rPr>
                <w:rFonts w:hint="default" w:ascii="Times New Roman" w:hAnsi="Times New Roman" w:eastAsia="Segoe UI" w:cs="Times New Roman"/>
                <w:i w:val="0"/>
                <w:iCs w:val="0"/>
                <w:caps w:val="0"/>
                <w:color w:val="0F1115"/>
                <w:spacing w:val="0"/>
                <w:sz w:val="24"/>
                <w:szCs w:val="24"/>
                <w:shd w:val="clear" w:fill="FFFFFF"/>
                <w:lang w:val="en-US" w:eastAsia="zh-CN"/>
              </w:rPr>
            </w:pPr>
            <w:r>
              <w:rPr>
                <w:rFonts w:hint="default" w:ascii="Times New Roman" w:hAnsi="Times New Roman" w:eastAsia="Segoe UI" w:cs="Times New Roman"/>
                <w:i w:val="0"/>
                <w:iCs w:val="0"/>
                <w:caps w:val="0"/>
                <w:color w:val="0F1115"/>
                <w:spacing w:val="0"/>
                <w:sz w:val="24"/>
                <w:szCs w:val="24"/>
                <w:shd w:val="clear" w:fill="FFFFFF"/>
                <w:lang w:val="en-US" w:eastAsia="zh-CN"/>
              </w:rPr>
              <w:t>Type II</w:t>
            </w:r>
          </w:p>
          <w:p w14:paraId="59BBDCD8">
            <w:pPr>
              <w:widowControl/>
              <w:jc w:val="center"/>
              <w:textAlignment w:val="center"/>
              <w:rPr>
                <w:rFonts w:hint="eastAsia" w:ascii="宋体" w:hAnsi="宋体" w:eastAsia="宋体" w:cs="宋体"/>
                <w:color w:val="000000"/>
                <w:szCs w:val="21"/>
              </w:rPr>
            </w:pPr>
            <w:r>
              <w:rPr>
                <w:rFonts w:hint="eastAsia" w:ascii="Times New Roman" w:hAnsi="Times New Roman" w:eastAsia="Segoe UI" w:cs="Times New Roman"/>
                <w:i w:val="0"/>
                <w:iCs w:val="0"/>
                <w:caps w:val="0"/>
                <w:color w:val="0F1115"/>
                <w:spacing w:val="0"/>
                <w:sz w:val="24"/>
                <w:szCs w:val="24"/>
                <w:shd w:val="clear" w:fill="FFFFFF"/>
                <w:lang w:val="en-US" w:eastAsia="zh-CN"/>
              </w:rPr>
              <w:t>l</w:t>
            </w:r>
            <w:r>
              <w:rPr>
                <w:rFonts w:hint="default" w:ascii="Times New Roman" w:hAnsi="Times New Roman" w:eastAsia="Segoe UI" w:cs="Times New Roman"/>
                <w:i w:val="0"/>
                <w:iCs w:val="0"/>
                <w:caps w:val="0"/>
                <w:color w:val="0F1115"/>
                <w:spacing w:val="0"/>
                <w:sz w:val="24"/>
                <w:szCs w:val="24"/>
                <w:shd w:val="clear" w:fill="FFFFFF"/>
                <w:lang w:val="en-US" w:eastAsia="zh-CN"/>
              </w:rPr>
              <w:t xml:space="preserve">arge </w:t>
            </w:r>
            <w:r>
              <w:rPr>
                <w:rFonts w:hint="eastAsia" w:ascii="Times New Roman" w:hAnsi="Times New Roman" w:eastAsia="Segoe UI" w:cs="Times New Roman"/>
                <w:i w:val="0"/>
                <w:iCs w:val="0"/>
                <w:caps w:val="0"/>
                <w:color w:val="0F1115"/>
                <w:spacing w:val="0"/>
                <w:sz w:val="24"/>
                <w:szCs w:val="24"/>
                <w:shd w:val="clear" w:fill="FFFFFF"/>
                <w:lang w:val="en-US" w:eastAsia="zh-CN"/>
              </w:rPr>
              <w:t>c</w:t>
            </w:r>
            <w:r>
              <w:rPr>
                <w:rFonts w:hint="default" w:ascii="Times New Roman" w:hAnsi="Times New Roman" w:eastAsia="Segoe UI" w:cs="Times New Roman"/>
                <w:i w:val="0"/>
                <w:iCs w:val="0"/>
                <w:caps w:val="0"/>
                <w:color w:val="0F1115"/>
                <w:spacing w:val="0"/>
                <w:sz w:val="24"/>
                <w:szCs w:val="24"/>
                <w:shd w:val="clear" w:fill="FFFFFF"/>
                <w:lang w:val="en-US" w:eastAsia="zh-CN"/>
              </w:rPr>
              <w:t>ity</w:t>
            </w:r>
          </w:p>
        </w:tc>
        <w:tc>
          <w:tcPr>
            <w:tcW w:w="1122" w:type="pct"/>
            <w:tcBorders>
              <w:top w:val="single" w:color="000000" w:sz="4" w:space="0"/>
              <w:left w:val="single" w:color="000000" w:sz="4" w:space="0"/>
              <w:bottom w:val="single" w:color="000000" w:sz="4" w:space="0"/>
              <w:right w:val="single" w:color="000000" w:sz="4" w:space="0"/>
            </w:tcBorders>
            <w:noWrap/>
            <w:vAlign w:val="center"/>
          </w:tcPr>
          <w:p w14:paraId="060BF9D0">
            <w:pPr>
              <w:widowControl/>
              <w:jc w:val="left"/>
              <w:textAlignment w:val="center"/>
              <w:rPr>
                <w:rFonts w:hint="eastAsia" w:ascii="宋体" w:hAnsi="宋体" w:eastAsia="宋体" w:cs="宋体"/>
                <w:color w:val="000000"/>
                <w:szCs w:val="21"/>
              </w:rPr>
            </w:pPr>
            <w:r>
              <w:rPr>
                <w:rFonts w:hint="eastAsia" w:ascii="Times New Roman" w:hAnsi="Times New Roman" w:eastAsia="Segoe UI" w:cs="Times New Roman"/>
                <w:i w:val="0"/>
                <w:iCs w:val="0"/>
                <w:caps w:val="0"/>
                <w:color w:val="0F1115"/>
                <w:spacing w:val="0"/>
                <w:sz w:val="24"/>
                <w:szCs w:val="24"/>
                <w:shd w:val="clear" w:fill="FFFFFF"/>
                <w:lang w:val="en-US" w:eastAsia="zh-CN"/>
              </w:rPr>
              <w:t>Yibin</w:t>
            </w:r>
          </w:p>
        </w:tc>
        <w:tc>
          <w:tcPr>
            <w:tcW w:w="2112" w:type="pct"/>
            <w:vMerge w:val="restart"/>
            <w:tcBorders>
              <w:top w:val="single" w:color="000000" w:sz="4" w:space="0"/>
              <w:left w:val="single" w:color="000000" w:sz="4" w:space="0"/>
              <w:bottom w:val="single" w:color="000000" w:sz="4" w:space="0"/>
              <w:right w:val="single" w:color="000000" w:sz="4" w:space="0"/>
            </w:tcBorders>
            <w:vAlign w:val="center"/>
          </w:tcPr>
          <w:p w14:paraId="147B4C66">
            <w:pPr>
              <w:widowControl/>
              <w:jc w:val="left"/>
              <w:textAlignment w:val="center"/>
              <w:rPr>
                <w:rFonts w:hint="eastAsia" w:ascii="宋体" w:hAnsi="宋体" w:eastAsia="宋体" w:cs="宋体"/>
                <w:color w:val="000000"/>
                <w:szCs w:val="21"/>
              </w:rPr>
            </w:pPr>
            <w:r>
              <w:rPr>
                <w:rFonts w:hint="eastAsia" w:ascii="Times New Roman" w:hAnsi="Times New Roman" w:eastAsia="Segoe UI" w:cs="Times New Roman"/>
                <w:i w:val="0"/>
                <w:iCs w:val="0"/>
                <w:caps w:val="0"/>
                <w:color w:val="0F1115"/>
                <w:spacing w:val="0"/>
                <w:sz w:val="24"/>
                <w:szCs w:val="24"/>
                <w:shd w:val="clear" w:fill="FFFFFF"/>
                <w:lang w:val="en-US" w:eastAsia="zh-CN"/>
              </w:rPr>
              <w:t>The Southern Sichuan Economic Zone ranks second in the province in terms of total economic output. However, the scale and agglomeration capacity of its central cities remain insufficient, and the region faces a notable issue of permanent resident population outflow. Additionally, challenges such as overlapping investments and duplication in key industries and public services persist.</w:t>
            </w:r>
          </w:p>
        </w:tc>
      </w:tr>
      <w:tr w14:paraId="53A0B840">
        <w:tblPrEx>
          <w:tblCellMar>
            <w:top w:w="0" w:type="dxa"/>
            <w:left w:w="108" w:type="dxa"/>
            <w:bottom w:w="0" w:type="dxa"/>
            <w:right w:w="108" w:type="dxa"/>
          </w:tblCellMar>
        </w:tblPrEx>
        <w:trPr>
          <w:trHeight w:val="1151" w:hRule="atLeast"/>
        </w:trPr>
        <w:tc>
          <w:tcPr>
            <w:tcW w:w="909" w:type="pct"/>
            <w:vMerge w:val="continue"/>
            <w:tcBorders>
              <w:top w:val="single" w:color="000000" w:sz="4" w:space="0"/>
              <w:left w:val="single" w:color="000000" w:sz="4" w:space="0"/>
              <w:bottom w:val="single" w:color="000000" w:sz="4" w:space="0"/>
              <w:right w:val="single" w:color="000000" w:sz="4" w:space="0"/>
            </w:tcBorders>
            <w:noWrap/>
            <w:vAlign w:val="center"/>
          </w:tcPr>
          <w:p w14:paraId="6D1CB9E0">
            <w:pPr>
              <w:jc w:val="center"/>
              <w:rPr>
                <w:rFonts w:hint="eastAsia" w:ascii="宋体" w:hAnsi="宋体" w:eastAsia="宋体" w:cs="宋体"/>
                <w:color w:val="000000"/>
                <w:szCs w:val="21"/>
              </w:rPr>
            </w:pPr>
          </w:p>
        </w:tc>
        <w:tc>
          <w:tcPr>
            <w:tcW w:w="855" w:type="pct"/>
            <w:tcBorders>
              <w:top w:val="single" w:color="000000" w:sz="4" w:space="0"/>
              <w:left w:val="single" w:color="000000" w:sz="4" w:space="0"/>
              <w:bottom w:val="single" w:color="000000" w:sz="4" w:space="0"/>
              <w:right w:val="single" w:color="000000" w:sz="4" w:space="0"/>
            </w:tcBorders>
            <w:noWrap/>
            <w:vAlign w:val="center"/>
          </w:tcPr>
          <w:p w14:paraId="020273D3">
            <w:pPr>
              <w:widowControl/>
              <w:jc w:val="center"/>
              <w:textAlignment w:val="center"/>
              <w:rPr>
                <w:rFonts w:hint="default" w:ascii="Times New Roman" w:hAnsi="Times New Roman" w:eastAsia="Segoe UI" w:cs="Times New Roman"/>
                <w:i w:val="0"/>
                <w:iCs w:val="0"/>
                <w:caps w:val="0"/>
                <w:color w:val="0F1115"/>
                <w:spacing w:val="0"/>
                <w:sz w:val="24"/>
                <w:szCs w:val="24"/>
                <w:shd w:val="clear" w:fill="FFFFFF"/>
                <w:lang w:val="en-US" w:eastAsia="zh-CN"/>
              </w:rPr>
            </w:pPr>
            <w:r>
              <w:rPr>
                <w:rFonts w:hint="default" w:ascii="Times New Roman" w:hAnsi="Times New Roman" w:eastAsia="Segoe UI" w:cs="Times New Roman"/>
                <w:i w:val="0"/>
                <w:iCs w:val="0"/>
                <w:caps w:val="0"/>
                <w:color w:val="0F1115"/>
                <w:spacing w:val="0"/>
                <w:sz w:val="24"/>
                <w:szCs w:val="24"/>
                <w:shd w:val="clear" w:fill="FFFFFF"/>
                <w:lang w:val="en-US" w:eastAsia="zh-CN"/>
              </w:rPr>
              <w:t>Medium</w:t>
            </w:r>
          </w:p>
          <w:p w14:paraId="01E2BD16">
            <w:pPr>
              <w:widowControl/>
              <w:jc w:val="center"/>
              <w:textAlignment w:val="center"/>
              <w:rPr>
                <w:rFonts w:hint="eastAsia" w:ascii="宋体" w:hAnsi="宋体" w:eastAsia="宋体" w:cs="宋体"/>
                <w:color w:val="000000"/>
                <w:szCs w:val="21"/>
              </w:rPr>
            </w:pPr>
            <w:r>
              <w:rPr>
                <w:rFonts w:hint="default" w:ascii="Times New Roman" w:hAnsi="Times New Roman" w:eastAsia="Segoe UI" w:cs="Times New Roman"/>
                <w:i w:val="0"/>
                <w:iCs w:val="0"/>
                <w:caps w:val="0"/>
                <w:color w:val="0F1115"/>
                <w:spacing w:val="0"/>
                <w:sz w:val="24"/>
                <w:szCs w:val="24"/>
                <w:shd w:val="clear" w:fill="FFFFFF"/>
                <w:lang w:val="en-US" w:eastAsia="zh-CN"/>
              </w:rPr>
              <w:t xml:space="preserve">sized </w:t>
            </w:r>
            <w:r>
              <w:rPr>
                <w:rFonts w:hint="eastAsia" w:ascii="Times New Roman" w:hAnsi="Times New Roman" w:eastAsia="Segoe UI" w:cs="Times New Roman"/>
                <w:i w:val="0"/>
                <w:iCs w:val="0"/>
                <w:caps w:val="0"/>
                <w:color w:val="0F1115"/>
                <w:spacing w:val="0"/>
                <w:sz w:val="24"/>
                <w:szCs w:val="24"/>
                <w:shd w:val="clear" w:fill="FFFFFF"/>
                <w:lang w:val="en-US" w:eastAsia="zh-CN"/>
              </w:rPr>
              <w:t>c</w:t>
            </w:r>
            <w:r>
              <w:rPr>
                <w:rFonts w:hint="default" w:ascii="Times New Roman" w:hAnsi="Times New Roman" w:eastAsia="Segoe UI" w:cs="Times New Roman"/>
                <w:i w:val="0"/>
                <w:iCs w:val="0"/>
                <w:caps w:val="0"/>
                <w:color w:val="0F1115"/>
                <w:spacing w:val="0"/>
                <w:sz w:val="24"/>
                <w:szCs w:val="24"/>
                <w:shd w:val="clear" w:fill="FFFFFF"/>
                <w:lang w:val="en-US" w:eastAsia="zh-CN"/>
              </w:rPr>
              <w:t>ity</w:t>
            </w:r>
          </w:p>
        </w:tc>
        <w:tc>
          <w:tcPr>
            <w:tcW w:w="1122" w:type="pct"/>
            <w:tcBorders>
              <w:top w:val="single" w:color="000000" w:sz="4" w:space="0"/>
              <w:left w:val="single" w:color="000000" w:sz="4" w:space="0"/>
              <w:bottom w:val="single" w:color="000000" w:sz="4" w:space="0"/>
              <w:right w:val="single" w:color="000000" w:sz="4" w:space="0"/>
            </w:tcBorders>
            <w:noWrap/>
            <w:vAlign w:val="center"/>
          </w:tcPr>
          <w:p w14:paraId="49FE2160">
            <w:pPr>
              <w:widowControl/>
              <w:jc w:val="left"/>
              <w:textAlignment w:val="center"/>
              <w:rPr>
                <w:rFonts w:hint="eastAsia" w:ascii="宋体" w:hAnsi="宋体" w:eastAsia="宋体" w:cs="宋体"/>
                <w:color w:val="000000"/>
                <w:szCs w:val="21"/>
              </w:rPr>
            </w:pPr>
            <w:r>
              <w:rPr>
                <w:rFonts w:hint="eastAsia" w:ascii="Times New Roman" w:hAnsi="Times New Roman" w:eastAsia="Segoe UI" w:cs="Times New Roman"/>
                <w:i w:val="0"/>
                <w:iCs w:val="0"/>
                <w:caps w:val="0"/>
                <w:color w:val="0F1115"/>
                <w:spacing w:val="0"/>
                <w:sz w:val="24"/>
                <w:szCs w:val="24"/>
                <w:shd w:val="clear" w:fill="FFFFFF"/>
                <w:lang w:val="en-US" w:eastAsia="zh-CN"/>
              </w:rPr>
              <w:t>Zigong、Luzhou、Neijiang</w:t>
            </w:r>
          </w:p>
        </w:tc>
        <w:tc>
          <w:tcPr>
            <w:tcW w:w="2112" w:type="pct"/>
            <w:vMerge w:val="continue"/>
            <w:tcBorders>
              <w:top w:val="single" w:color="000000" w:sz="4" w:space="0"/>
              <w:left w:val="single" w:color="000000" w:sz="4" w:space="0"/>
              <w:bottom w:val="single" w:color="000000" w:sz="4" w:space="0"/>
              <w:right w:val="single" w:color="000000" w:sz="4" w:space="0"/>
            </w:tcBorders>
            <w:vAlign w:val="center"/>
          </w:tcPr>
          <w:p w14:paraId="3553318D">
            <w:pPr>
              <w:jc w:val="left"/>
              <w:rPr>
                <w:rFonts w:hint="eastAsia" w:ascii="宋体" w:hAnsi="宋体" w:eastAsia="宋体" w:cs="宋体"/>
                <w:color w:val="000000"/>
                <w:szCs w:val="21"/>
              </w:rPr>
            </w:pPr>
          </w:p>
        </w:tc>
      </w:tr>
      <w:tr w14:paraId="3AB7C690">
        <w:tblPrEx>
          <w:tblCellMar>
            <w:top w:w="0" w:type="dxa"/>
            <w:left w:w="108" w:type="dxa"/>
            <w:bottom w:w="0" w:type="dxa"/>
            <w:right w:w="108" w:type="dxa"/>
          </w:tblCellMar>
        </w:tblPrEx>
        <w:trPr>
          <w:trHeight w:val="2239" w:hRule="atLeast"/>
        </w:trPr>
        <w:tc>
          <w:tcPr>
            <w:tcW w:w="909" w:type="pct"/>
            <w:tcBorders>
              <w:top w:val="single" w:color="000000" w:sz="4" w:space="0"/>
              <w:left w:val="single" w:color="000000" w:sz="4" w:space="0"/>
              <w:bottom w:val="single" w:color="000000" w:sz="4" w:space="0"/>
              <w:right w:val="single" w:color="000000" w:sz="4" w:space="0"/>
            </w:tcBorders>
            <w:noWrap/>
            <w:vAlign w:val="center"/>
          </w:tcPr>
          <w:p w14:paraId="57C95AC5">
            <w:pPr>
              <w:widowControl/>
              <w:jc w:val="center"/>
              <w:textAlignment w:val="center"/>
              <w:rPr>
                <w:rFonts w:hint="eastAsia" w:ascii="宋体" w:hAnsi="宋体" w:eastAsia="宋体" w:cs="宋体"/>
                <w:color w:val="000000"/>
                <w:szCs w:val="21"/>
              </w:rPr>
            </w:pPr>
            <w:r>
              <w:rPr>
                <w:rFonts w:hint="default" w:ascii="Times New Roman" w:hAnsi="Times New Roman" w:eastAsia="Segoe UI" w:cs="Times New Roman"/>
                <w:i w:val="0"/>
                <w:iCs w:val="0"/>
                <w:caps w:val="0"/>
                <w:color w:val="0F1115"/>
                <w:spacing w:val="0"/>
                <w:kern w:val="2"/>
                <w:sz w:val="24"/>
                <w:szCs w:val="24"/>
                <w:shd w:val="clear" w:fill="FFFFFF"/>
                <w:lang w:val="en-US" w:eastAsia="zh-CN" w:bidi="ar-SA"/>
              </w:rPr>
              <w:t>Panxi Region</w:t>
            </w:r>
          </w:p>
        </w:tc>
        <w:tc>
          <w:tcPr>
            <w:tcW w:w="855" w:type="pct"/>
            <w:tcBorders>
              <w:top w:val="single" w:color="000000" w:sz="4" w:space="0"/>
              <w:left w:val="single" w:color="000000" w:sz="4" w:space="0"/>
              <w:bottom w:val="single" w:color="000000" w:sz="4" w:space="0"/>
              <w:right w:val="single" w:color="000000" w:sz="4" w:space="0"/>
            </w:tcBorders>
            <w:noWrap/>
            <w:vAlign w:val="center"/>
          </w:tcPr>
          <w:p w14:paraId="078E7EF6">
            <w:pPr>
              <w:widowControl/>
              <w:jc w:val="center"/>
              <w:textAlignment w:val="center"/>
              <w:rPr>
                <w:rFonts w:hint="default" w:ascii="Times New Roman" w:hAnsi="Times New Roman" w:eastAsia="Segoe UI" w:cs="Times New Roman"/>
                <w:i w:val="0"/>
                <w:iCs w:val="0"/>
                <w:caps w:val="0"/>
                <w:color w:val="0F1115"/>
                <w:spacing w:val="0"/>
                <w:sz w:val="24"/>
                <w:szCs w:val="24"/>
                <w:shd w:val="clear" w:fill="FFFFFF"/>
                <w:lang w:val="en-US" w:eastAsia="zh-CN"/>
              </w:rPr>
            </w:pPr>
            <w:r>
              <w:rPr>
                <w:rFonts w:hint="default" w:ascii="Times New Roman" w:hAnsi="Times New Roman" w:eastAsia="Segoe UI" w:cs="Times New Roman"/>
                <w:i w:val="0"/>
                <w:iCs w:val="0"/>
                <w:caps w:val="0"/>
                <w:color w:val="0F1115"/>
                <w:spacing w:val="0"/>
                <w:sz w:val="24"/>
                <w:szCs w:val="24"/>
                <w:shd w:val="clear" w:fill="FFFFFF"/>
                <w:lang w:val="en-US" w:eastAsia="zh-CN"/>
              </w:rPr>
              <w:t>Medium</w:t>
            </w:r>
          </w:p>
          <w:p w14:paraId="662296BB">
            <w:pPr>
              <w:widowControl/>
              <w:jc w:val="center"/>
              <w:textAlignment w:val="center"/>
              <w:rPr>
                <w:rFonts w:hint="eastAsia" w:ascii="宋体" w:hAnsi="宋体" w:eastAsia="宋体" w:cs="宋体"/>
                <w:color w:val="000000"/>
                <w:szCs w:val="21"/>
              </w:rPr>
            </w:pPr>
            <w:r>
              <w:rPr>
                <w:rFonts w:hint="default" w:ascii="Times New Roman" w:hAnsi="Times New Roman" w:eastAsia="Segoe UI" w:cs="Times New Roman"/>
                <w:i w:val="0"/>
                <w:iCs w:val="0"/>
                <w:caps w:val="0"/>
                <w:color w:val="0F1115"/>
                <w:spacing w:val="0"/>
                <w:sz w:val="24"/>
                <w:szCs w:val="24"/>
                <w:shd w:val="clear" w:fill="FFFFFF"/>
                <w:lang w:val="en-US" w:eastAsia="zh-CN"/>
              </w:rPr>
              <w:t xml:space="preserve">sized </w:t>
            </w:r>
            <w:r>
              <w:rPr>
                <w:rFonts w:hint="eastAsia" w:ascii="Times New Roman" w:hAnsi="Times New Roman" w:eastAsia="Segoe UI" w:cs="Times New Roman"/>
                <w:i w:val="0"/>
                <w:iCs w:val="0"/>
                <w:caps w:val="0"/>
                <w:color w:val="0F1115"/>
                <w:spacing w:val="0"/>
                <w:sz w:val="24"/>
                <w:szCs w:val="24"/>
                <w:shd w:val="clear" w:fill="FFFFFF"/>
                <w:lang w:val="en-US" w:eastAsia="zh-CN"/>
              </w:rPr>
              <w:t>c</w:t>
            </w:r>
            <w:r>
              <w:rPr>
                <w:rFonts w:hint="default" w:ascii="Times New Roman" w:hAnsi="Times New Roman" w:eastAsia="Segoe UI" w:cs="Times New Roman"/>
                <w:i w:val="0"/>
                <w:iCs w:val="0"/>
                <w:caps w:val="0"/>
                <w:color w:val="0F1115"/>
                <w:spacing w:val="0"/>
                <w:sz w:val="24"/>
                <w:szCs w:val="24"/>
                <w:shd w:val="clear" w:fill="FFFFFF"/>
                <w:lang w:val="en-US" w:eastAsia="zh-CN"/>
              </w:rPr>
              <w:t>ity</w:t>
            </w:r>
          </w:p>
        </w:tc>
        <w:tc>
          <w:tcPr>
            <w:tcW w:w="1122" w:type="pct"/>
            <w:tcBorders>
              <w:top w:val="single" w:color="000000" w:sz="4" w:space="0"/>
              <w:left w:val="single" w:color="000000" w:sz="4" w:space="0"/>
              <w:bottom w:val="single" w:color="000000" w:sz="4" w:space="0"/>
              <w:right w:val="single" w:color="000000" w:sz="4" w:space="0"/>
            </w:tcBorders>
            <w:noWrap/>
            <w:vAlign w:val="center"/>
          </w:tcPr>
          <w:p w14:paraId="01E78922">
            <w:pPr>
              <w:widowControl/>
              <w:jc w:val="left"/>
              <w:textAlignment w:val="center"/>
              <w:rPr>
                <w:rFonts w:hint="eastAsia" w:ascii="宋体" w:hAnsi="宋体" w:eastAsia="宋体" w:cs="宋体"/>
                <w:color w:val="000000"/>
                <w:szCs w:val="21"/>
                <w:lang w:eastAsia="zh-CN"/>
              </w:rPr>
            </w:pPr>
            <w:r>
              <w:rPr>
                <w:rFonts w:hint="eastAsia" w:ascii="Times New Roman" w:hAnsi="Times New Roman" w:eastAsia="Segoe UI" w:cs="Times New Roman"/>
                <w:i w:val="0"/>
                <w:iCs w:val="0"/>
                <w:caps w:val="0"/>
                <w:color w:val="0F1115"/>
                <w:spacing w:val="0"/>
                <w:sz w:val="24"/>
                <w:szCs w:val="24"/>
                <w:shd w:val="clear" w:fill="FFFFFF"/>
                <w:lang w:val="en-US" w:eastAsia="zh-CN"/>
              </w:rPr>
              <w:t>Panzhihua</w:t>
            </w:r>
          </w:p>
        </w:tc>
        <w:tc>
          <w:tcPr>
            <w:tcW w:w="2112" w:type="pct"/>
            <w:tcBorders>
              <w:top w:val="single" w:color="000000" w:sz="4" w:space="0"/>
              <w:left w:val="single" w:color="000000" w:sz="4" w:space="0"/>
              <w:bottom w:val="single" w:color="000000" w:sz="4" w:space="0"/>
              <w:right w:val="single" w:color="000000" w:sz="4" w:space="0"/>
            </w:tcBorders>
            <w:vAlign w:val="center"/>
          </w:tcPr>
          <w:p w14:paraId="2A8490E7">
            <w:pPr>
              <w:widowControl/>
              <w:jc w:val="left"/>
              <w:textAlignment w:val="center"/>
              <w:rPr>
                <w:rFonts w:hint="eastAsia" w:ascii="宋体" w:hAnsi="宋体" w:eastAsia="宋体" w:cs="宋体"/>
                <w:color w:val="000000"/>
                <w:szCs w:val="21"/>
              </w:rPr>
            </w:pPr>
            <w:r>
              <w:rPr>
                <w:rFonts w:hint="eastAsia" w:ascii="Times New Roman" w:hAnsi="Times New Roman" w:eastAsia="Segoe UI" w:cs="Times New Roman"/>
                <w:i w:val="0"/>
                <w:iCs w:val="0"/>
                <w:caps w:val="0"/>
                <w:color w:val="0F1115"/>
                <w:spacing w:val="0"/>
                <w:sz w:val="24"/>
                <w:szCs w:val="24"/>
                <w:shd w:val="clear" w:fill="FFFFFF"/>
                <w:lang w:val="en-US" w:eastAsia="zh-CN"/>
              </w:rPr>
              <w:t>The Panzhihua-Xichang Economic Zone is currently the only state-approved experimental zone in China focused on the comprehensive utilization of resource development. In terms of permanent resident population and regional GDP, it ranks fourth among the five major economic zones of Sichuan Province, indicating that its overall development level remains relatively lagging.</w:t>
            </w:r>
          </w:p>
        </w:tc>
      </w:tr>
    </w:tbl>
    <w:p w14:paraId="712A657D">
      <w:pPr>
        <w:spacing w:line="360" w:lineRule="auto"/>
        <w:rPr>
          <w:rStyle w:val="12"/>
          <w:rFonts w:ascii="Segoe UI" w:hAnsi="Segoe UI" w:eastAsia="Segoe UI" w:cs="Segoe UI"/>
          <w:b/>
          <w:bCs/>
          <w:i w:val="0"/>
          <w:iCs w:val="0"/>
          <w:caps w:val="0"/>
          <w:color w:val="0F1115"/>
          <w:spacing w:val="0"/>
          <w:sz w:val="12"/>
          <w:szCs w:val="12"/>
          <w:shd w:val="clear" w:fill="FFFFFF"/>
        </w:rPr>
      </w:pPr>
    </w:p>
    <w:p w14:paraId="587A4C72">
      <w:pPr>
        <w:spacing w:line="360" w:lineRule="auto"/>
        <w:rPr>
          <w:rStyle w:val="12"/>
          <w:rFonts w:ascii="Segoe UI" w:hAnsi="Segoe UI" w:eastAsia="Segoe UI" w:cs="Segoe UI"/>
          <w:b/>
          <w:bCs/>
          <w:i w:val="0"/>
          <w:iCs w:val="0"/>
          <w:caps w:val="0"/>
          <w:color w:val="0F1115"/>
          <w:spacing w:val="0"/>
          <w:sz w:val="12"/>
          <w:szCs w:val="12"/>
          <w:shd w:val="clear" w:fill="FFFFFF"/>
        </w:rPr>
      </w:pPr>
    </w:p>
    <w:p w14:paraId="59933A63">
      <w:pPr>
        <w:widowControl/>
        <w:jc w:val="left"/>
        <w:textAlignment w:val="center"/>
        <w:rPr>
          <w:rFonts w:hint="eastAsia" w:ascii="Times New Roman" w:hAnsi="Times New Roman" w:eastAsia="Segoe UI" w:cs="Times New Roman"/>
          <w:b/>
          <w:bCs/>
          <w:i w:val="0"/>
          <w:iCs w:val="0"/>
          <w:caps w:val="0"/>
          <w:color w:val="0F1115"/>
          <w:spacing w:val="0"/>
          <w:sz w:val="24"/>
          <w:szCs w:val="24"/>
          <w:shd w:val="clear" w:fill="FFFFFF"/>
          <w:lang w:val="en-US" w:eastAsia="zh-CN"/>
        </w:rPr>
      </w:pPr>
      <w:r>
        <w:rPr>
          <w:rFonts w:hint="eastAsia" w:ascii="Times New Roman" w:hAnsi="Times New Roman" w:eastAsia="Segoe UI" w:cs="Times New Roman"/>
          <w:b/>
          <w:bCs/>
          <w:i w:val="0"/>
          <w:iCs w:val="0"/>
          <w:caps w:val="0"/>
          <w:color w:val="0F1115"/>
          <w:spacing w:val="0"/>
          <w:sz w:val="24"/>
          <w:szCs w:val="24"/>
          <w:shd w:val="clear" w:fill="FFFFFF"/>
          <w:lang w:val="en-US" w:eastAsia="zh-CN"/>
        </w:rPr>
        <w:t>Appendix 2:</w:t>
      </w:r>
      <w:r>
        <w:rPr>
          <w:rFonts w:hint="eastAsia" w:ascii="Times New Roman" w:hAnsi="Times New Roman" w:eastAsia="Segoe UI" w:cs="Times New Roman"/>
          <w:i w:val="0"/>
          <w:iCs w:val="0"/>
          <w:caps w:val="0"/>
          <w:color w:val="0F1115"/>
          <w:spacing w:val="0"/>
          <w:sz w:val="24"/>
          <w:szCs w:val="24"/>
          <w:shd w:val="clear" w:fill="FFFFFF"/>
          <w:lang w:val="en-US" w:eastAsia="zh-CN"/>
        </w:rPr>
        <w:t xml:space="preserve"> </w:t>
      </w:r>
      <w:r>
        <w:rPr>
          <w:rFonts w:hint="eastAsia" w:ascii="Times New Roman" w:hAnsi="Times New Roman" w:eastAsia="Segoe UI" w:cs="Times New Roman"/>
          <w:b/>
          <w:bCs/>
          <w:i w:val="0"/>
          <w:iCs w:val="0"/>
          <w:caps w:val="0"/>
          <w:color w:val="0F1115"/>
          <w:spacing w:val="0"/>
          <w:sz w:val="24"/>
          <w:szCs w:val="24"/>
          <w:shd w:val="clear" w:fill="FFFFFF"/>
          <w:lang w:val="en-US" w:eastAsia="zh-CN"/>
        </w:rPr>
        <w:t xml:space="preserve">Collinearity tests </w:t>
      </w:r>
    </w:p>
    <w:p w14:paraId="1FDB641C">
      <w:pPr>
        <w:spacing w:line="360" w:lineRule="auto"/>
        <w:rPr>
          <w:rStyle w:val="12"/>
          <w:rFonts w:ascii="Segoe UI" w:hAnsi="Segoe UI" w:eastAsia="Segoe UI" w:cs="Segoe UI"/>
          <w:b/>
          <w:bCs/>
          <w:i w:val="0"/>
          <w:iCs w:val="0"/>
          <w:caps w:val="0"/>
          <w:color w:val="0F1115"/>
          <w:spacing w:val="0"/>
          <w:sz w:val="12"/>
          <w:szCs w:val="12"/>
          <w:shd w:val="clear" w:fill="FFFFFF"/>
        </w:rPr>
      </w:pPr>
    </w:p>
    <w:p w14:paraId="6A807414">
      <w:pPr>
        <w:widowControl/>
        <w:jc w:val="left"/>
        <w:textAlignment w:val="center"/>
        <w:rPr>
          <w:rFonts w:hint="eastAsia" w:ascii="Times New Roman" w:hAnsi="Times New Roman" w:eastAsia="Segoe UI" w:cs="Times New Roman"/>
          <w:i w:val="0"/>
          <w:iCs w:val="0"/>
          <w:caps w:val="0"/>
          <w:color w:val="0F1115"/>
          <w:spacing w:val="0"/>
          <w:sz w:val="24"/>
          <w:szCs w:val="24"/>
          <w:shd w:val="clear" w:fill="FFFFFF"/>
          <w:lang w:val="en-US" w:eastAsia="zh-CN"/>
        </w:rPr>
      </w:pPr>
      <w:r>
        <w:rPr>
          <w:rFonts w:hint="eastAsia" w:ascii="Times New Roman" w:hAnsi="Times New Roman" w:eastAsia="Segoe UI" w:cs="Times New Roman"/>
          <w:b/>
          <w:bCs/>
          <w:i w:val="0"/>
          <w:iCs w:val="0"/>
          <w:caps w:val="0"/>
          <w:color w:val="0F1115"/>
          <w:spacing w:val="0"/>
          <w:sz w:val="24"/>
          <w:szCs w:val="24"/>
          <w:shd w:val="clear" w:fill="FFFFFF"/>
          <w:lang w:val="en-US" w:eastAsia="zh-CN"/>
        </w:rPr>
        <w:t xml:space="preserve">Appendix 3: Data Standardization </w:t>
      </w:r>
    </w:p>
    <w:p w14:paraId="7344CE88">
      <w:pPr>
        <w:widowControl/>
        <w:jc w:val="left"/>
        <w:textAlignment w:val="center"/>
        <w:rPr>
          <w:rFonts w:hint="eastAsia" w:ascii="Times New Roman" w:hAnsi="Times New Roman" w:eastAsia="Segoe UI" w:cs="Times New Roman"/>
          <w:i w:val="0"/>
          <w:iCs w:val="0"/>
          <w:caps w:val="0"/>
          <w:color w:val="0F1115"/>
          <w:spacing w:val="0"/>
          <w:sz w:val="24"/>
          <w:szCs w:val="24"/>
          <w:shd w:val="clear" w:fill="FFFFFF"/>
          <w:lang w:val="en-US" w:eastAsia="zh-CN"/>
        </w:rPr>
      </w:pPr>
      <w:r>
        <w:rPr>
          <w:rFonts w:hint="eastAsia" w:ascii="Times New Roman" w:hAnsi="Times New Roman" w:eastAsia="Segoe UI" w:cs="Times New Roman"/>
          <w:i w:val="0"/>
          <w:iCs w:val="0"/>
          <w:caps w:val="0"/>
          <w:color w:val="0F1115"/>
          <w:spacing w:val="0"/>
          <w:sz w:val="24"/>
          <w:szCs w:val="24"/>
          <w:shd w:val="clear" w:fill="FFFFFF"/>
          <w:lang w:val="en-US" w:eastAsia="zh-CN"/>
        </w:rPr>
        <w:t>Collinearity tests led to the removal of the indicators marked in red, resulting in a final set of 23 indicators (refer to "Data Standardization" in the appendix):</w:t>
      </w:r>
    </w:p>
    <w:p w14:paraId="21DAF236">
      <w:pPr>
        <w:spacing w:line="360" w:lineRule="auto"/>
        <w:rPr>
          <w:rFonts w:hint="eastAsia"/>
        </w:rPr>
      </w:pPr>
    </w:p>
    <w:tbl>
      <w:tblPr>
        <w:tblStyle w:val="10"/>
        <w:tblpPr w:leftFromText="180" w:rightFromText="180" w:vertAnchor="text" w:horzAnchor="page" w:tblpX="819" w:tblpY="459"/>
        <w:tblOverlap w:val="never"/>
        <w:tblW w:w="10536" w:type="dxa"/>
        <w:tblInd w:w="0" w:type="dxa"/>
        <w:tblLayout w:type="fixed"/>
        <w:tblCellMar>
          <w:top w:w="0" w:type="dxa"/>
          <w:left w:w="108" w:type="dxa"/>
          <w:bottom w:w="0" w:type="dxa"/>
          <w:right w:w="108" w:type="dxa"/>
        </w:tblCellMar>
      </w:tblPr>
      <w:tblGrid>
        <w:gridCol w:w="955"/>
        <w:gridCol w:w="1016"/>
        <w:gridCol w:w="1029"/>
        <w:gridCol w:w="1961"/>
        <w:gridCol w:w="3161"/>
        <w:gridCol w:w="1024"/>
        <w:gridCol w:w="630"/>
        <w:gridCol w:w="760"/>
      </w:tblGrid>
      <w:tr w14:paraId="6373F29A">
        <w:tblPrEx>
          <w:tblCellMar>
            <w:top w:w="0" w:type="dxa"/>
            <w:left w:w="108" w:type="dxa"/>
            <w:bottom w:w="0" w:type="dxa"/>
            <w:right w:w="108" w:type="dxa"/>
          </w:tblCellMar>
        </w:tblPrEx>
        <w:trPr>
          <w:trHeight w:val="472" w:hRule="atLeast"/>
        </w:trPr>
        <w:tc>
          <w:tcPr>
            <w:tcW w:w="955" w:type="dxa"/>
            <w:tcBorders>
              <w:top w:val="single" w:color="000000" w:sz="8" w:space="0"/>
              <w:left w:val="nil"/>
              <w:bottom w:val="single" w:color="000000" w:sz="8" w:space="0"/>
              <w:right w:val="nil"/>
            </w:tcBorders>
            <w:noWrap/>
            <w:vAlign w:val="center"/>
          </w:tcPr>
          <w:p w14:paraId="248C7363">
            <w:pPr>
              <w:widowControl/>
              <w:jc w:val="center"/>
              <w:textAlignment w:val="center"/>
              <w:rPr>
                <w:rFonts w:ascii="Palatino Linotype" w:hAnsi="Palatino Linotype" w:eastAsia="宋体" w:cs="Palatino Linotype"/>
                <w:b/>
                <w:bCs/>
                <w:color w:val="000000"/>
                <w:sz w:val="16"/>
                <w:szCs w:val="16"/>
              </w:rPr>
            </w:pPr>
            <w:r>
              <w:rPr>
                <w:rFonts w:ascii="Palatino Linotype" w:hAnsi="Palatino Linotype" w:eastAsia="宋体" w:cs="Palatino Linotype"/>
                <w:b/>
                <w:bCs/>
                <w:color w:val="000000"/>
                <w:kern w:val="0"/>
                <w:sz w:val="16"/>
                <w:szCs w:val="16"/>
                <w:lang w:bidi="ar"/>
              </w:rPr>
              <w:t>Target</w:t>
            </w:r>
          </w:p>
        </w:tc>
        <w:tc>
          <w:tcPr>
            <w:tcW w:w="1016" w:type="dxa"/>
            <w:tcBorders>
              <w:top w:val="single" w:color="000000" w:sz="8" w:space="0"/>
              <w:left w:val="nil"/>
              <w:bottom w:val="single" w:color="000000" w:sz="8" w:space="0"/>
              <w:right w:val="nil"/>
            </w:tcBorders>
            <w:noWrap/>
            <w:vAlign w:val="center"/>
          </w:tcPr>
          <w:p w14:paraId="3B3363FF">
            <w:pPr>
              <w:widowControl/>
              <w:jc w:val="center"/>
              <w:textAlignment w:val="center"/>
              <w:rPr>
                <w:rFonts w:ascii="Palatino Linotype" w:hAnsi="Palatino Linotype" w:eastAsia="宋体" w:cs="Palatino Linotype"/>
                <w:b/>
                <w:bCs/>
                <w:color w:val="000000"/>
                <w:sz w:val="16"/>
                <w:szCs w:val="16"/>
              </w:rPr>
            </w:pPr>
            <w:r>
              <w:rPr>
                <w:rFonts w:ascii="Palatino Linotype" w:hAnsi="Palatino Linotype" w:eastAsia="宋体" w:cs="Palatino Linotype"/>
                <w:b/>
                <w:bCs/>
                <w:color w:val="000000"/>
                <w:kern w:val="0"/>
                <w:sz w:val="16"/>
                <w:szCs w:val="16"/>
                <w:lang w:bidi="ar"/>
              </w:rPr>
              <w:t>Sub System</w:t>
            </w:r>
          </w:p>
        </w:tc>
        <w:tc>
          <w:tcPr>
            <w:tcW w:w="1029" w:type="dxa"/>
            <w:tcBorders>
              <w:top w:val="single" w:color="000000" w:sz="8" w:space="0"/>
              <w:left w:val="nil"/>
              <w:bottom w:val="single" w:color="000000" w:sz="8" w:space="0"/>
              <w:right w:val="nil"/>
            </w:tcBorders>
            <w:noWrap/>
            <w:vAlign w:val="center"/>
          </w:tcPr>
          <w:p w14:paraId="3D900EF8">
            <w:pPr>
              <w:widowControl/>
              <w:jc w:val="center"/>
              <w:textAlignment w:val="center"/>
              <w:rPr>
                <w:rFonts w:ascii="Palatino Linotype" w:hAnsi="Palatino Linotype" w:eastAsia="宋体" w:cs="Palatino Linotype"/>
                <w:b/>
                <w:bCs/>
                <w:color w:val="000000"/>
                <w:sz w:val="16"/>
                <w:szCs w:val="16"/>
              </w:rPr>
            </w:pPr>
            <w:r>
              <w:rPr>
                <w:rFonts w:ascii="Palatino Linotype" w:hAnsi="Palatino Linotype" w:eastAsia="宋体" w:cs="Palatino Linotype"/>
                <w:b/>
                <w:bCs/>
                <w:color w:val="000000"/>
                <w:kern w:val="0"/>
                <w:sz w:val="16"/>
                <w:szCs w:val="16"/>
                <w:lang w:bidi="ar"/>
              </w:rPr>
              <w:t>Dimension</w:t>
            </w:r>
          </w:p>
        </w:tc>
        <w:tc>
          <w:tcPr>
            <w:tcW w:w="1961" w:type="dxa"/>
            <w:tcBorders>
              <w:top w:val="single" w:color="000000" w:sz="8" w:space="0"/>
              <w:left w:val="nil"/>
              <w:bottom w:val="single" w:color="000000" w:sz="8" w:space="0"/>
              <w:right w:val="nil"/>
            </w:tcBorders>
            <w:noWrap/>
            <w:vAlign w:val="center"/>
          </w:tcPr>
          <w:p w14:paraId="5A9B180F">
            <w:pPr>
              <w:widowControl/>
              <w:jc w:val="center"/>
              <w:textAlignment w:val="center"/>
              <w:rPr>
                <w:rFonts w:ascii="Palatino Linotype" w:hAnsi="Palatino Linotype" w:eastAsia="宋体" w:cs="Palatino Linotype"/>
                <w:b/>
                <w:bCs/>
                <w:color w:val="000000"/>
                <w:sz w:val="16"/>
                <w:szCs w:val="16"/>
              </w:rPr>
            </w:pPr>
            <w:r>
              <w:rPr>
                <w:rFonts w:ascii="Palatino Linotype" w:hAnsi="Palatino Linotype" w:eastAsia="宋体" w:cs="Palatino Linotype"/>
                <w:b/>
                <w:bCs/>
                <w:color w:val="000000"/>
                <w:kern w:val="0"/>
                <w:sz w:val="16"/>
                <w:szCs w:val="16"/>
                <w:lang w:bidi="ar"/>
              </w:rPr>
              <w:t>Indicator</w:t>
            </w:r>
          </w:p>
        </w:tc>
        <w:tc>
          <w:tcPr>
            <w:tcW w:w="3161" w:type="dxa"/>
            <w:tcBorders>
              <w:top w:val="single" w:color="000000" w:sz="8" w:space="0"/>
              <w:left w:val="nil"/>
              <w:bottom w:val="single" w:color="000000" w:sz="8" w:space="0"/>
              <w:right w:val="nil"/>
            </w:tcBorders>
            <w:noWrap/>
            <w:vAlign w:val="center"/>
          </w:tcPr>
          <w:p w14:paraId="0AF6DABC">
            <w:pPr>
              <w:widowControl/>
              <w:jc w:val="center"/>
              <w:textAlignment w:val="center"/>
              <w:rPr>
                <w:rFonts w:ascii="Palatino Linotype" w:hAnsi="Palatino Linotype" w:eastAsia="宋体" w:cs="Palatino Linotype"/>
                <w:b/>
                <w:bCs/>
                <w:color w:val="000000"/>
                <w:sz w:val="16"/>
                <w:szCs w:val="16"/>
              </w:rPr>
            </w:pPr>
            <w:r>
              <w:rPr>
                <w:rFonts w:ascii="Palatino Linotype" w:hAnsi="Palatino Linotype" w:eastAsia="宋体" w:cs="Palatino Linotype"/>
                <w:b/>
                <w:bCs/>
                <w:color w:val="000000"/>
                <w:kern w:val="0"/>
                <w:sz w:val="16"/>
                <w:szCs w:val="16"/>
                <w:lang w:bidi="ar"/>
              </w:rPr>
              <w:t>Definition</w:t>
            </w:r>
          </w:p>
        </w:tc>
        <w:tc>
          <w:tcPr>
            <w:tcW w:w="1024" w:type="dxa"/>
            <w:tcBorders>
              <w:top w:val="single" w:color="000000" w:sz="8" w:space="0"/>
              <w:left w:val="nil"/>
              <w:bottom w:val="single" w:color="000000" w:sz="8" w:space="0"/>
              <w:right w:val="nil"/>
            </w:tcBorders>
            <w:noWrap/>
            <w:vAlign w:val="center"/>
          </w:tcPr>
          <w:p w14:paraId="3B320543">
            <w:pPr>
              <w:widowControl/>
              <w:jc w:val="center"/>
              <w:textAlignment w:val="center"/>
              <w:rPr>
                <w:rFonts w:ascii="Palatino Linotype" w:hAnsi="Palatino Linotype" w:eastAsia="宋体" w:cs="Palatino Linotype"/>
                <w:b/>
                <w:bCs/>
                <w:color w:val="000000"/>
                <w:sz w:val="16"/>
                <w:szCs w:val="16"/>
              </w:rPr>
            </w:pPr>
            <w:r>
              <w:rPr>
                <w:rFonts w:ascii="Palatino Linotype" w:hAnsi="Palatino Linotype" w:eastAsia="宋体" w:cs="Palatino Linotype"/>
                <w:b/>
                <w:bCs/>
                <w:color w:val="000000"/>
                <w:kern w:val="0"/>
                <w:sz w:val="16"/>
                <w:szCs w:val="16"/>
                <w:lang w:bidi="ar"/>
              </w:rPr>
              <w:t>Source</w:t>
            </w:r>
          </w:p>
        </w:tc>
        <w:tc>
          <w:tcPr>
            <w:tcW w:w="630" w:type="dxa"/>
            <w:tcBorders>
              <w:top w:val="single" w:color="000000" w:sz="8" w:space="0"/>
              <w:left w:val="nil"/>
              <w:bottom w:val="single" w:color="000000" w:sz="8" w:space="0"/>
              <w:right w:val="nil"/>
            </w:tcBorders>
            <w:noWrap/>
            <w:vAlign w:val="center"/>
          </w:tcPr>
          <w:p w14:paraId="0900A034">
            <w:pPr>
              <w:widowControl/>
              <w:jc w:val="center"/>
              <w:textAlignment w:val="center"/>
              <w:rPr>
                <w:rFonts w:ascii="Palatino Linotype" w:hAnsi="Palatino Linotype" w:eastAsia="宋体" w:cs="Palatino Linotype"/>
                <w:b/>
                <w:bCs/>
                <w:color w:val="000000"/>
                <w:sz w:val="16"/>
                <w:szCs w:val="16"/>
              </w:rPr>
            </w:pPr>
            <w:r>
              <w:rPr>
                <w:rFonts w:ascii="Palatino Linotype" w:hAnsi="Palatino Linotype" w:eastAsia="宋体" w:cs="Palatino Linotype"/>
                <w:b/>
                <w:bCs/>
                <w:color w:val="000000"/>
                <w:kern w:val="0"/>
                <w:sz w:val="16"/>
                <w:szCs w:val="16"/>
                <w:lang w:bidi="ar"/>
              </w:rPr>
              <w:t>Direction</w:t>
            </w:r>
          </w:p>
        </w:tc>
        <w:tc>
          <w:tcPr>
            <w:tcW w:w="760" w:type="dxa"/>
            <w:tcBorders>
              <w:top w:val="single" w:color="000000" w:sz="8" w:space="0"/>
              <w:left w:val="nil"/>
              <w:bottom w:val="single" w:color="000000" w:sz="8" w:space="0"/>
              <w:right w:val="nil"/>
            </w:tcBorders>
            <w:noWrap/>
            <w:vAlign w:val="center"/>
          </w:tcPr>
          <w:p w14:paraId="780E9B97">
            <w:pPr>
              <w:widowControl/>
              <w:jc w:val="center"/>
              <w:textAlignment w:val="center"/>
              <w:rPr>
                <w:rFonts w:ascii="Palatino Linotype" w:hAnsi="Palatino Linotype" w:eastAsia="宋体" w:cs="Palatino Linotype"/>
                <w:b/>
                <w:bCs/>
                <w:color w:val="000000"/>
                <w:sz w:val="16"/>
                <w:szCs w:val="16"/>
              </w:rPr>
            </w:pPr>
            <w:r>
              <w:rPr>
                <w:rFonts w:ascii="Palatino Linotype" w:hAnsi="Palatino Linotype" w:eastAsia="宋体" w:cs="Palatino Linotype"/>
                <w:b/>
                <w:bCs/>
                <w:color w:val="000000"/>
                <w:kern w:val="0"/>
                <w:sz w:val="16"/>
                <w:szCs w:val="16"/>
                <w:lang w:bidi="ar"/>
              </w:rPr>
              <w:t>Weight</w:t>
            </w:r>
          </w:p>
        </w:tc>
      </w:tr>
      <w:tr w14:paraId="22B681F7">
        <w:tblPrEx>
          <w:tblCellMar>
            <w:top w:w="0" w:type="dxa"/>
            <w:left w:w="108" w:type="dxa"/>
            <w:bottom w:w="0" w:type="dxa"/>
            <w:right w:w="108" w:type="dxa"/>
          </w:tblCellMar>
        </w:tblPrEx>
        <w:trPr>
          <w:trHeight w:val="472" w:hRule="atLeast"/>
        </w:trPr>
        <w:tc>
          <w:tcPr>
            <w:tcW w:w="955" w:type="dxa"/>
            <w:vMerge w:val="restart"/>
            <w:tcBorders>
              <w:top w:val="nil"/>
              <w:left w:val="nil"/>
              <w:bottom w:val="single" w:color="000000" w:sz="8" w:space="0"/>
              <w:right w:val="nil"/>
            </w:tcBorders>
            <w:vAlign w:val="center"/>
          </w:tcPr>
          <w:p w14:paraId="722EFCCC">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 xml:space="preserve">Comprehensive </w:t>
            </w:r>
            <w:r>
              <w:rPr>
                <w:rFonts w:ascii="Palatino Linotype" w:hAnsi="Palatino Linotype" w:eastAsia="宋体" w:cs="Palatino Linotype"/>
                <w:color w:val="000000"/>
                <w:kern w:val="0"/>
                <w:sz w:val="16"/>
                <w:szCs w:val="16"/>
                <w:lang w:bidi="ar"/>
              </w:rPr>
              <w:br w:type="textWrapping"/>
            </w:r>
            <w:r>
              <w:rPr>
                <w:rFonts w:ascii="Palatino Linotype" w:hAnsi="Palatino Linotype" w:eastAsia="宋体" w:cs="Palatino Linotype"/>
                <w:color w:val="000000"/>
                <w:kern w:val="0"/>
                <w:sz w:val="16"/>
                <w:szCs w:val="16"/>
                <w:lang w:bidi="ar"/>
              </w:rPr>
              <w:t>Risk</w:t>
            </w:r>
          </w:p>
        </w:tc>
        <w:tc>
          <w:tcPr>
            <w:tcW w:w="1016" w:type="dxa"/>
            <w:vMerge w:val="restart"/>
            <w:tcBorders>
              <w:top w:val="nil"/>
              <w:left w:val="nil"/>
              <w:bottom w:val="single" w:color="000000" w:sz="4" w:space="0"/>
              <w:right w:val="nil"/>
            </w:tcBorders>
            <w:noWrap/>
            <w:vAlign w:val="center"/>
          </w:tcPr>
          <w:p w14:paraId="0FA50BCF">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Infectious Disease Hazard</w:t>
            </w:r>
          </w:p>
        </w:tc>
        <w:tc>
          <w:tcPr>
            <w:tcW w:w="1029" w:type="dxa"/>
            <w:vMerge w:val="restart"/>
            <w:tcBorders>
              <w:top w:val="nil"/>
              <w:left w:val="nil"/>
              <w:bottom w:val="single" w:color="000000" w:sz="4" w:space="0"/>
              <w:right w:val="nil"/>
            </w:tcBorders>
            <w:vAlign w:val="center"/>
          </w:tcPr>
          <w:p w14:paraId="49C2B4AD">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 xml:space="preserve">Population </w:t>
            </w:r>
            <w:r>
              <w:rPr>
                <w:rFonts w:ascii="Palatino Linotype" w:hAnsi="Palatino Linotype" w:eastAsia="宋体" w:cs="Palatino Linotype"/>
                <w:color w:val="000000"/>
                <w:kern w:val="0"/>
                <w:sz w:val="16"/>
                <w:szCs w:val="16"/>
                <w:lang w:bidi="ar"/>
              </w:rPr>
              <w:br w:type="textWrapping"/>
            </w:r>
            <w:r>
              <w:rPr>
                <w:rFonts w:ascii="Palatino Linotype" w:hAnsi="Palatino Linotype" w:eastAsia="宋体" w:cs="Palatino Linotype"/>
                <w:color w:val="000000"/>
                <w:kern w:val="0"/>
                <w:sz w:val="16"/>
                <w:szCs w:val="16"/>
                <w:lang w:bidi="ar"/>
              </w:rPr>
              <w:t>characteristics</w:t>
            </w:r>
          </w:p>
        </w:tc>
        <w:tc>
          <w:tcPr>
            <w:tcW w:w="1961" w:type="dxa"/>
            <w:tcBorders>
              <w:top w:val="nil"/>
              <w:left w:val="nil"/>
              <w:bottom w:val="nil"/>
              <w:right w:val="nil"/>
            </w:tcBorders>
            <w:noWrap/>
            <w:vAlign w:val="center"/>
          </w:tcPr>
          <w:p w14:paraId="4D9A3EB1">
            <w:pPr>
              <w:widowControl/>
              <w:jc w:val="left"/>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Proportion of population aged 65 and over(X1)</w:t>
            </w:r>
          </w:p>
        </w:tc>
        <w:tc>
          <w:tcPr>
            <w:tcW w:w="3161" w:type="dxa"/>
            <w:tcBorders>
              <w:top w:val="nil"/>
              <w:left w:val="nil"/>
              <w:bottom w:val="nil"/>
              <w:right w:val="nil"/>
            </w:tcBorders>
            <w:noWrap/>
            <w:vAlign w:val="center"/>
          </w:tcPr>
          <w:p w14:paraId="3163F115">
            <w:pPr>
              <w:widowControl/>
              <w:jc w:val="left"/>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Percentage of permanent residents aged ≥65 years in the region (%)</w:t>
            </w:r>
          </w:p>
        </w:tc>
        <w:tc>
          <w:tcPr>
            <w:tcW w:w="1024" w:type="dxa"/>
            <w:tcBorders>
              <w:top w:val="nil"/>
              <w:left w:val="nil"/>
              <w:bottom w:val="nil"/>
              <w:right w:val="nil"/>
            </w:tcBorders>
            <w:noWrap/>
            <w:vAlign w:val="center"/>
          </w:tcPr>
          <w:p w14:paraId="622471DE">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SPCY 2020</w:t>
            </w:r>
          </w:p>
        </w:tc>
        <w:tc>
          <w:tcPr>
            <w:tcW w:w="630" w:type="dxa"/>
            <w:tcBorders>
              <w:top w:val="nil"/>
              <w:left w:val="nil"/>
              <w:bottom w:val="nil"/>
              <w:right w:val="nil"/>
            </w:tcBorders>
            <w:noWrap/>
            <w:vAlign w:val="center"/>
          </w:tcPr>
          <w:p w14:paraId="2B31372E">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w:t>
            </w:r>
          </w:p>
        </w:tc>
        <w:tc>
          <w:tcPr>
            <w:tcW w:w="760" w:type="dxa"/>
            <w:tcBorders>
              <w:top w:val="nil"/>
              <w:left w:val="nil"/>
              <w:bottom w:val="nil"/>
              <w:right w:val="nil"/>
            </w:tcBorders>
            <w:noWrap/>
            <w:vAlign w:val="center"/>
          </w:tcPr>
          <w:p w14:paraId="1A1E97E9">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 xml:space="preserve">0.046 </w:t>
            </w:r>
          </w:p>
        </w:tc>
      </w:tr>
      <w:tr w14:paraId="730720E8">
        <w:tblPrEx>
          <w:tblCellMar>
            <w:top w:w="0" w:type="dxa"/>
            <w:left w:w="108" w:type="dxa"/>
            <w:bottom w:w="0" w:type="dxa"/>
            <w:right w:w="108" w:type="dxa"/>
          </w:tblCellMar>
        </w:tblPrEx>
        <w:trPr>
          <w:trHeight w:val="252" w:hRule="atLeast"/>
        </w:trPr>
        <w:tc>
          <w:tcPr>
            <w:tcW w:w="955" w:type="dxa"/>
            <w:vMerge w:val="continue"/>
            <w:tcBorders>
              <w:top w:val="nil"/>
              <w:left w:val="nil"/>
              <w:bottom w:val="single" w:color="000000" w:sz="8" w:space="0"/>
              <w:right w:val="nil"/>
            </w:tcBorders>
            <w:vAlign w:val="center"/>
          </w:tcPr>
          <w:p w14:paraId="4EA49CAC">
            <w:pPr>
              <w:jc w:val="center"/>
              <w:rPr>
                <w:rFonts w:ascii="Palatino Linotype" w:hAnsi="Palatino Linotype" w:eastAsia="宋体" w:cs="Palatino Linotype"/>
                <w:color w:val="000000"/>
                <w:sz w:val="16"/>
                <w:szCs w:val="16"/>
              </w:rPr>
            </w:pPr>
          </w:p>
        </w:tc>
        <w:tc>
          <w:tcPr>
            <w:tcW w:w="1016" w:type="dxa"/>
            <w:vMerge w:val="continue"/>
            <w:tcBorders>
              <w:top w:val="nil"/>
              <w:left w:val="nil"/>
              <w:bottom w:val="single" w:color="000000" w:sz="4" w:space="0"/>
              <w:right w:val="nil"/>
            </w:tcBorders>
            <w:noWrap/>
            <w:vAlign w:val="center"/>
          </w:tcPr>
          <w:p w14:paraId="1C1B5850">
            <w:pPr>
              <w:jc w:val="center"/>
              <w:rPr>
                <w:rFonts w:ascii="Palatino Linotype" w:hAnsi="Palatino Linotype" w:eastAsia="宋体" w:cs="Palatino Linotype"/>
                <w:color w:val="000000"/>
                <w:sz w:val="16"/>
                <w:szCs w:val="16"/>
              </w:rPr>
            </w:pPr>
          </w:p>
        </w:tc>
        <w:tc>
          <w:tcPr>
            <w:tcW w:w="1029" w:type="dxa"/>
            <w:vMerge w:val="continue"/>
            <w:tcBorders>
              <w:top w:val="nil"/>
              <w:left w:val="nil"/>
              <w:bottom w:val="single" w:color="000000" w:sz="4" w:space="0"/>
              <w:right w:val="nil"/>
            </w:tcBorders>
            <w:vAlign w:val="center"/>
          </w:tcPr>
          <w:p w14:paraId="6017C921">
            <w:pPr>
              <w:jc w:val="center"/>
              <w:rPr>
                <w:rFonts w:ascii="Palatino Linotype" w:hAnsi="Palatino Linotype" w:eastAsia="宋体" w:cs="Palatino Linotype"/>
                <w:color w:val="000000"/>
                <w:sz w:val="16"/>
                <w:szCs w:val="16"/>
              </w:rPr>
            </w:pPr>
          </w:p>
        </w:tc>
        <w:tc>
          <w:tcPr>
            <w:tcW w:w="1961" w:type="dxa"/>
            <w:tcBorders>
              <w:top w:val="nil"/>
              <w:left w:val="nil"/>
              <w:bottom w:val="single" w:color="000000" w:sz="4" w:space="0"/>
              <w:right w:val="nil"/>
            </w:tcBorders>
            <w:noWrap/>
            <w:vAlign w:val="center"/>
          </w:tcPr>
          <w:p w14:paraId="0B8BEF8D">
            <w:pPr>
              <w:widowControl/>
              <w:jc w:val="left"/>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Population living in poverty(X2)</w:t>
            </w:r>
          </w:p>
        </w:tc>
        <w:tc>
          <w:tcPr>
            <w:tcW w:w="3161" w:type="dxa"/>
            <w:tcBorders>
              <w:top w:val="nil"/>
              <w:left w:val="nil"/>
              <w:bottom w:val="single" w:color="000000" w:sz="4" w:space="0"/>
              <w:right w:val="nil"/>
            </w:tcBorders>
            <w:noWrap/>
            <w:vAlign w:val="center"/>
          </w:tcPr>
          <w:p w14:paraId="1271B1AB">
            <w:pPr>
              <w:widowControl/>
              <w:jc w:val="left"/>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Percentage of population receiving minimum living allowance (%)</w:t>
            </w:r>
          </w:p>
        </w:tc>
        <w:tc>
          <w:tcPr>
            <w:tcW w:w="1024" w:type="dxa"/>
            <w:tcBorders>
              <w:top w:val="nil"/>
              <w:left w:val="nil"/>
              <w:bottom w:val="single" w:color="000000" w:sz="4" w:space="0"/>
              <w:right w:val="nil"/>
            </w:tcBorders>
            <w:noWrap/>
            <w:vAlign w:val="center"/>
          </w:tcPr>
          <w:p w14:paraId="2EB99E80">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MSYB2023</w:t>
            </w:r>
          </w:p>
        </w:tc>
        <w:tc>
          <w:tcPr>
            <w:tcW w:w="630" w:type="dxa"/>
            <w:tcBorders>
              <w:top w:val="nil"/>
              <w:left w:val="nil"/>
              <w:bottom w:val="single" w:color="000000" w:sz="4" w:space="0"/>
              <w:right w:val="nil"/>
            </w:tcBorders>
            <w:noWrap/>
            <w:vAlign w:val="center"/>
          </w:tcPr>
          <w:p w14:paraId="220262E1">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w:t>
            </w:r>
          </w:p>
        </w:tc>
        <w:tc>
          <w:tcPr>
            <w:tcW w:w="760" w:type="dxa"/>
            <w:tcBorders>
              <w:top w:val="nil"/>
              <w:left w:val="nil"/>
              <w:bottom w:val="single" w:color="000000" w:sz="4" w:space="0"/>
              <w:right w:val="nil"/>
            </w:tcBorders>
            <w:noWrap/>
            <w:vAlign w:val="center"/>
          </w:tcPr>
          <w:p w14:paraId="50980510">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 xml:space="preserve">0.093 </w:t>
            </w:r>
          </w:p>
        </w:tc>
      </w:tr>
      <w:tr w14:paraId="29E45D67">
        <w:tblPrEx>
          <w:tblCellMar>
            <w:top w:w="0" w:type="dxa"/>
            <w:left w:w="108" w:type="dxa"/>
            <w:bottom w:w="0" w:type="dxa"/>
            <w:right w:w="108" w:type="dxa"/>
          </w:tblCellMar>
        </w:tblPrEx>
        <w:trPr>
          <w:trHeight w:val="252" w:hRule="atLeast"/>
        </w:trPr>
        <w:tc>
          <w:tcPr>
            <w:tcW w:w="955" w:type="dxa"/>
            <w:vMerge w:val="continue"/>
            <w:tcBorders>
              <w:top w:val="nil"/>
              <w:left w:val="nil"/>
              <w:bottom w:val="single" w:color="000000" w:sz="8" w:space="0"/>
              <w:right w:val="nil"/>
            </w:tcBorders>
            <w:vAlign w:val="center"/>
          </w:tcPr>
          <w:p w14:paraId="73866C46">
            <w:pPr>
              <w:jc w:val="center"/>
              <w:rPr>
                <w:rFonts w:ascii="Palatino Linotype" w:hAnsi="Palatino Linotype" w:eastAsia="宋体" w:cs="Palatino Linotype"/>
                <w:color w:val="000000"/>
                <w:sz w:val="16"/>
                <w:szCs w:val="16"/>
              </w:rPr>
            </w:pPr>
          </w:p>
        </w:tc>
        <w:tc>
          <w:tcPr>
            <w:tcW w:w="1016" w:type="dxa"/>
            <w:vMerge w:val="continue"/>
            <w:tcBorders>
              <w:top w:val="nil"/>
              <w:left w:val="nil"/>
              <w:bottom w:val="single" w:color="000000" w:sz="4" w:space="0"/>
              <w:right w:val="nil"/>
            </w:tcBorders>
            <w:noWrap/>
            <w:vAlign w:val="center"/>
          </w:tcPr>
          <w:p w14:paraId="06F4AD59">
            <w:pPr>
              <w:jc w:val="center"/>
              <w:rPr>
                <w:rFonts w:ascii="Palatino Linotype" w:hAnsi="Palatino Linotype" w:eastAsia="宋体" w:cs="Palatino Linotype"/>
                <w:color w:val="000000"/>
                <w:sz w:val="16"/>
                <w:szCs w:val="16"/>
              </w:rPr>
            </w:pPr>
          </w:p>
        </w:tc>
        <w:tc>
          <w:tcPr>
            <w:tcW w:w="1029" w:type="dxa"/>
            <w:vMerge w:val="restart"/>
            <w:tcBorders>
              <w:top w:val="nil"/>
              <w:left w:val="nil"/>
              <w:bottom w:val="single" w:color="000000" w:sz="4" w:space="0"/>
              <w:right w:val="nil"/>
            </w:tcBorders>
            <w:noWrap/>
            <w:vAlign w:val="center"/>
          </w:tcPr>
          <w:p w14:paraId="73AAE2CE">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Population agglomeration</w:t>
            </w:r>
          </w:p>
        </w:tc>
        <w:tc>
          <w:tcPr>
            <w:tcW w:w="1961" w:type="dxa"/>
            <w:tcBorders>
              <w:top w:val="nil"/>
              <w:left w:val="nil"/>
              <w:bottom w:val="nil"/>
              <w:right w:val="nil"/>
            </w:tcBorders>
            <w:noWrap/>
            <w:vAlign w:val="center"/>
          </w:tcPr>
          <w:p w14:paraId="7DCBF0DE">
            <w:pPr>
              <w:widowControl/>
              <w:jc w:val="left"/>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Population Density(X3)</w:t>
            </w:r>
          </w:p>
        </w:tc>
        <w:tc>
          <w:tcPr>
            <w:tcW w:w="3161" w:type="dxa"/>
            <w:tcBorders>
              <w:top w:val="nil"/>
              <w:left w:val="nil"/>
              <w:bottom w:val="nil"/>
              <w:right w:val="nil"/>
            </w:tcBorders>
            <w:noWrap/>
            <w:vAlign w:val="center"/>
          </w:tcPr>
          <w:p w14:paraId="13E4748E">
            <w:pPr>
              <w:widowControl/>
              <w:jc w:val="left"/>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Permanent residents per unit land area (persons/km²)</w:t>
            </w:r>
          </w:p>
        </w:tc>
        <w:tc>
          <w:tcPr>
            <w:tcW w:w="1024" w:type="dxa"/>
            <w:tcBorders>
              <w:top w:val="nil"/>
              <w:left w:val="nil"/>
              <w:bottom w:val="nil"/>
              <w:right w:val="nil"/>
            </w:tcBorders>
            <w:noWrap/>
            <w:vAlign w:val="center"/>
          </w:tcPr>
          <w:p w14:paraId="3E582176">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SSYB 2023</w:t>
            </w:r>
          </w:p>
        </w:tc>
        <w:tc>
          <w:tcPr>
            <w:tcW w:w="630" w:type="dxa"/>
            <w:tcBorders>
              <w:top w:val="nil"/>
              <w:left w:val="nil"/>
              <w:bottom w:val="nil"/>
              <w:right w:val="nil"/>
            </w:tcBorders>
            <w:noWrap/>
            <w:vAlign w:val="center"/>
          </w:tcPr>
          <w:p w14:paraId="56087658">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w:t>
            </w:r>
          </w:p>
        </w:tc>
        <w:tc>
          <w:tcPr>
            <w:tcW w:w="760" w:type="dxa"/>
            <w:tcBorders>
              <w:top w:val="nil"/>
              <w:left w:val="nil"/>
              <w:bottom w:val="nil"/>
              <w:right w:val="nil"/>
            </w:tcBorders>
            <w:noWrap/>
            <w:vAlign w:val="center"/>
          </w:tcPr>
          <w:p w14:paraId="1DB0FCF1">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 xml:space="preserve">0.135 </w:t>
            </w:r>
          </w:p>
        </w:tc>
      </w:tr>
      <w:tr w14:paraId="40B3E779">
        <w:tblPrEx>
          <w:tblCellMar>
            <w:top w:w="0" w:type="dxa"/>
            <w:left w:w="108" w:type="dxa"/>
            <w:bottom w:w="0" w:type="dxa"/>
            <w:right w:w="108" w:type="dxa"/>
          </w:tblCellMar>
        </w:tblPrEx>
        <w:trPr>
          <w:trHeight w:val="252" w:hRule="atLeast"/>
        </w:trPr>
        <w:tc>
          <w:tcPr>
            <w:tcW w:w="955" w:type="dxa"/>
            <w:vMerge w:val="continue"/>
            <w:tcBorders>
              <w:top w:val="nil"/>
              <w:left w:val="nil"/>
              <w:bottom w:val="single" w:color="000000" w:sz="8" w:space="0"/>
              <w:right w:val="nil"/>
            </w:tcBorders>
            <w:vAlign w:val="center"/>
          </w:tcPr>
          <w:p w14:paraId="38E00692">
            <w:pPr>
              <w:jc w:val="center"/>
              <w:rPr>
                <w:rFonts w:ascii="Palatino Linotype" w:hAnsi="Palatino Linotype" w:eastAsia="宋体" w:cs="Palatino Linotype"/>
                <w:color w:val="000000"/>
                <w:sz w:val="16"/>
                <w:szCs w:val="16"/>
              </w:rPr>
            </w:pPr>
          </w:p>
        </w:tc>
        <w:tc>
          <w:tcPr>
            <w:tcW w:w="1016" w:type="dxa"/>
            <w:vMerge w:val="continue"/>
            <w:tcBorders>
              <w:top w:val="nil"/>
              <w:left w:val="nil"/>
              <w:bottom w:val="single" w:color="000000" w:sz="4" w:space="0"/>
              <w:right w:val="nil"/>
            </w:tcBorders>
            <w:noWrap/>
            <w:vAlign w:val="center"/>
          </w:tcPr>
          <w:p w14:paraId="0568D3D4">
            <w:pPr>
              <w:jc w:val="center"/>
              <w:rPr>
                <w:rFonts w:ascii="Palatino Linotype" w:hAnsi="Palatino Linotype" w:eastAsia="宋体" w:cs="Palatino Linotype"/>
                <w:color w:val="000000"/>
                <w:sz w:val="16"/>
                <w:szCs w:val="16"/>
              </w:rPr>
            </w:pPr>
          </w:p>
        </w:tc>
        <w:tc>
          <w:tcPr>
            <w:tcW w:w="1029" w:type="dxa"/>
            <w:vMerge w:val="continue"/>
            <w:tcBorders>
              <w:top w:val="nil"/>
              <w:left w:val="nil"/>
              <w:bottom w:val="single" w:color="000000" w:sz="4" w:space="0"/>
              <w:right w:val="nil"/>
            </w:tcBorders>
            <w:noWrap/>
            <w:vAlign w:val="center"/>
          </w:tcPr>
          <w:p w14:paraId="219315C1">
            <w:pPr>
              <w:jc w:val="center"/>
              <w:rPr>
                <w:rFonts w:ascii="Palatino Linotype" w:hAnsi="Palatino Linotype" w:eastAsia="宋体" w:cs="Palatino Linotype"/>
                <w:color w:val="000000"/>
                <w:sz w:val="16"/>
                <w:szCs w:val="16"/>
              </w:rPr>
            </w:pPr>
          </w:p>
        </w:tc>
        <w:tc>
          <w:tcPr>
            <w:tcW w:w="1961" w:type="dxa"/>
            <w:tcBorders>
              <w:top w:val="nil"/>
              <w:left w:val="nil"/>
              <w:bottom w:val="single" w:color="000000" w:sz="4" w:space="0"/>
              <w:right w:val="nil"/>
            </w:tcBorders>
            <w:noWrap/>
            <w:vAlign w:val="center"/>
          </w:tcPr>
          <w:p w14:paraId="22B64742">
            <w:pPr>
              <w:widowControl/>
              <w:jc w:val="left"/>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Employment Density(X4)</w:t>
            </w:r>
          </w:p>
        </w:tc>
        <w:tc>
          <w:tcPr>
            <w:tcW w:w="3161" w:type="dxa"/>
            <w:tcBorders>
              <w:top w:val="nil"/>
              <w:left w:val="nil"/>
              <w:bottom w:val="single" w:color="000000" w:sz="4" w:space="0"/>
              <w:right w:val="nil"/>
            </w:tcBorders>
            <w:noWrap/>
            <w:vAlign w:val="center"/>
          </w:tcPr>
          <w:p w14:paraId="45D88704">
            <w:pPr>
              <w:widowControl/>
              <w:jc w:val="left"/>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Total employed persons per built-up area (10,000 persons/km²)</w:t>
            </w:r>
          </w:p>
        </w:tc>
        <w:tc>
          <w:tcPr>
            <w:tcW w:w="1024" w:type="dxa"/>
            <w:tcBorders>
              <w:top w:val="nil"/>
              <w:left w:val="nil"/>
              <w:bottom w:val="single" w:color="000000" w:sz="4" w:space="0"/>
              <w:right w:val="nil"/>
            </w:tcBorders>
            <w:noWrap/>
            <w:vAlign w:val="center"/>
          </w:tcPr>
          <w:p w14:paraId="1EC08EB4">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MSYB2023</w:t>
            </w:r>
          </w:p>
        </w:tc>
        <w:tc>
          <w:tcPr>
            <w:tcW w:w="630" w:type="dxa"/>
            <w:tcBorders>
              <w:top w:val="nil"/>
              <w:left w:val="nil"/>
              <w:bottom w:val="single" w:color="000000" w:sz="4" w:space="0"/>
              <w:right w:val="nil"/>
            </w:tcBorders>
            <w:noWrap/>
            <w:vAlign w:val="center"/>
          </w:tcPr>
          <w:p w14:paraId="5C2F5898">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w:t>
            </w:r>
          </w:p>
        </w:tc>
        <w:tc>
          <w:tcPr>
            <w:tcW w:w="760" w:type="dxa"/>
            <w:tcBorders>
              <w:top w:val="nil"/>
              <w:left w:val="nil"/>
              <w:bottom w:val="single" w:color="000000" w:sz="4" w:space="0"/>
              <w:right w:val="nil"/>
            </w:tcBorders>
            <w:noWrap/>
            <w:vAlign w:val="center"/>
          </w:tcPr>
          <w:p w14:paraId="1F66AAD1">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 xml:space="preserve">0.062 </w:t>
            </w:r>
          </w:p>
        </w:tc>
      </w:tr>
      <w:tr w14:paraId="0572CC74">
        <w:tblPrEx>
          <w:tblCellMar>
            <w:top w:w="0" w:type="dxa"/>
            <w:left w:w="108" w:type="dxa"/>
            <w:bottom w:w="0" w:type="dxa"/>
            <w:right w:w="108" w:type="dxa"/>
          </w:tblCellMar>
        </w:tblPrEx>
        <w:trPr>
          <w:trHeight w:val="252" w:hRule="atLeast"/>
        </w:trPr>
        <w:tc>
          <w:tcPr>
            <w:tcW w:w="955" w:type="dxa"/>
            <w:vMerge w:val="continue"/>
            <w:tcBorders>
              <w:top w:val="nil"/>
              <w:left w:val="nil"/>
              <w:bottom w:val="single" w:color="000000" w:sz="8" w:space="0"/>
              <w:right w:val="nil"/>
            </w:tcBorders>
            <w:vAlign w:val="center"/>
          </w:tcPr>
          <w:p w14:paraId="50C3D4BD">
            <w:pPr>
              <w:jc w:val="center"/>
              <w:rPr>
                <w:rFonts w:ascii="Palatino Linotype" w:hAnsi="Palatino Linotype" w:eastAsia="宋体" w:cs="Palatino Linotype"/>
                <w:color w:val="000000"/>
                <w:sz w:val="16"/>
                <w:szCs w:val="16"/>
              </w:rPr>
            </w:pPr>
          </w:p>
        </w:tc>
        <w:tc>
          <w:tcPr>
            <w:tcW w:w="1016" w:type="dxa"/>
            <w:vMerge w:val="continue"/>
            <w:tcBorders>
              <w:top w:val="nil"/>
              <w:left w:val="nil"/>
              <w:bottom w:val="single" w:color="000000" w:sz="4" w:space="0"/>
              <w:right w:val="nil"/>
            </w:tcBorders>
            <w:noWrap/>
            <w:vAlign w:val="center"/>
          </w:tcPr>
          <w:p w14:paraId="03C530F4">
            <w:pPr>
              <w:jc w:val="center"/>
              <w:rPr>
                <w:rFonts w:ascii="Palatino Linotype" w:hAnsi="Palatino Linotype" w:eastAsia="宋体" w:cs="Palatino Linotype"/>
                <w:color w:val="000000"/>
                <w:sz w:val="16"/>
                <w:szCs w:val="16"/>
              </w:rPr>
            </w:pPr>
          </w:p>
        </w:tc>
        <w:tc>
          <w:tcPr>
            <w:tcW w:w="1029" w:type="dxa"/>
            <w:vMerge w:val="restart"/>
            <w:tcBorders>
              <w:top w:val="nil"/>
              <w:left w:val="nil"/>
              <w:bottom w:val="single" w:color="000000" w:sz="4" w:space="0"/>
              <w:right w:val="nil"/>
            </w:tcBorders>
            <w:vAlign w:val="center"/>
          </w:tcPr>
          <w:p w14:paraId="3EF3AF65">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 xml:space="preserve">Demographic </w:t>
            </w:r>
            <w:r>
              <w:rPr>
                <w:rFonts w:ascii="Palatino Linotype" w:hAnsi="Palatino Linotype" w:eastAsia="宋体" w:cs="Palatino Linotype"/>
                <w:color w:val="000000"/>
                <w:kern w:val="0"/>
                <w:sz w:val="16"/>
                <w:szCs w:val="16"/>
                <w:lang w:bidi="ar"/>
              </w:rPr>
              <w:br w:type="textWrapping"/>
            </w:r>
            <w:r>
              <w:rPr>
                <w:rFonts w:ascii="Palatino Linotype" w:hAnsi="Palatino Linotype" w:eastAsia="宋体" w:cs="Palatino Linotype"/>
                <w:color w:val="000000"/>
                <w:kern w:val="0"/>
                <w:sz w:val="16"/>
                <w:szCs w:val="16"/>
                <w:lang w:bidi="ar"/>
              </w:rPr>
              <w:t>dynamics</w:t>
            </w:r>
          </w:p>
        </w:tc>
        <w:tc>
          <w:tcPr>
            <w:tcW w:w="1961" w:type="dxa"/>
            <w:tcBorders>
              <w:top w:val="nil"/>
              <w:left w:val="nil"/>
              <w:bottom w:val="nil"/>
              <w:right w:val="nil"/>
            </w:tcBorders>
            <w:noWrap/>
            <w:vAlign w:val="center"/>
          </w:tcPr>
          <w:p w14:paraId="259C9CB8">
            <w:pPr>
              <w:widowControl/>
              <w:jc w:val="left"/>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Domestic tourist arrivals(X5)</w:t>
            </w:r>
          </w:p>
        </w:tc>
        <w:tc>
          <w:tcPr>
            <w:tcW w:w="3161" w:type="dxa"/>
            <w:tcBorders>
              <w:top w:val="nil"/>
              <w:left w:val="nil"/>
              <w:bottom w:val="nil"/>
              <w:right w:val="nil"/>
            </w:tcBorders>
            <w:noWrap/>
            <w:vAlign w:val="center"/>
          </w:tcPr>
          <w:p w14:paraId="04350F52">
            <w:pPr>
              <w:widowControl/>
              <w:jc w:val="left"/>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Annual domestic tourist arrivals (10,000 persons)</w:t>
            </w:r>
          </w:p>
        </w:tc>
        <w:tc>
          <w:tcPr>
            <w:tcW w:w="1024" w:type="dxa"/>
            <w:tcBorders>
              <w:top w:val="nil"/>
              <w:left w:val="nil"/>
              <w:bottom w:val="nil"/>
              <w:right w:val="nil"/>
            </w:tcBorders>
            <w:noWrap/>
            <w:vAlign w:val="center"/>
          </w:tcPr>
          <w:p w14:paraId="0299736A">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SSYB 2023</w:t>
            </w:r>
          </w:p>
        </w:tc>
        <w:tc>
          <w:tcPr>
            <w:tcW w:w="630" w:type="dxa"/>
            <w:tcBorders>
              <w:top w:val="nil"/>
              <w:left w:val="nil"/>
              <w:bottom w:val="nil"/>
              <w:right w:val="nil"/>
            </w:tcBorders>
            <w:noWrap/>
            <w:vAlign w:val="center"/>
          </w:tcPr>
          <w:p w14:paraId="53ED6CF1">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w:t>
            </w:r>
          </w:p>
        </w:tc>
        <w:tc>
          <w:tcPr>
            <w:tcW w:w="760" w:type="dxa"/>
            <w:tcBorders>
              <w:top w:val="nil"/>
              <w:left w:val="nil"/>
              <w:bottom w:val="nil"/>
              <w:right w:val="nil"/>
            </w:tcBorders>
            <w:noWrap/>
            <w:vAlign w:val="center"/>
          </w:tcPr>
          <w:p w14:paraId="567945AC">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 xml:space="preserve">0.251 </w:t>
            </w:r>
          </w:p>
        </w:tc>
      </w:tr>
      <w:tr w14:paraId="3D08564D">
        <w:tblPrEx>
          <w:tblCellMar>
            <w:top w:w="0" w:type="dxa"/>
            <w:left w:w="108" w:type="dxa"/>
            <w:bottom w:w="0" w:type="dxa"/>
            <w:right w:w="108" w:type="dxa"/>
          </w:tblCellMar>
        </w:tblPrEx>
        <w:trPr>
          <w:trHeight w:val="472" w:hRule="atLeast"/>
        </w:trPr>
        <w:tc>
          <w:tcPr>
            <w:tcW w:w="955" w:type="dxa"/>
            <w:vMerge w:val="continue"/>
            <w:tcBorders>
              <w:top w:val="nil"/>
              <w:left w:val="nil"/>
              <w:bottom w:val="single" w:color="000000" w:sz="8" w:space="0"/>
              <w:right w:val="nil"/>
            </w:tcBorders>
            <w:vAlign w:val="center"/>
          </w:tcPr>
          <w:p w14:paraId="201A2003">
            <w:pPr>
              <w:jc w:val="center"/>
              <w:rPr>
                <w:rFonts w:ascii="Palatino Linotype" w:hAnsi="Palatino Linotype" w:eastAsia="宋体" w:cs="Palatino Linotype"/>
                <w:color w:val="000000"/>
                <w:sz w:val="16"/>
                <w:szCs w:val="16"/>
              </w:rPr>
            </w:pPr>
          </w:p>
        </w:tc>
        <w:tc>
          <w:tcPr>
            <w:tcW w:w="1016" w:type="dxa"/>
            <w:vMerge w:val="continue"/>
            <w:tcBorders>
              <w:top w:val="nil"/>
              <w:left w:val="nil"/>
              <w:bottom w:val="single" w:color="000000" w:sz="4" w:space="0"/>
              <w:right w:val="nil"/>
            </w:tcBorders>
            <w:noWrap/>
            <w:vAlign w:val="center"/>
          </w:tcPr>
          <w:p w14:paraId="254ACA77">
            <w:pPr>
              <w:jc w:val="center"/>
              <w:rPr>
                <w:rFonts w:ascii="Palatino Linotype" w:hAnsi="Palatino Linotype" w:eastAsia="宋体" w:cs="Palatino Linotype"/>
                <w:color w:val="000000"/>
                <w:sz w:val="16"/>
                <w:szCs w:val="16"/>
              </w:rPr>
            </w:pPr>
          </w:p>
        </w:tc>
        <w:tc>
          <w:tcPr>
            <w:tcW w:w="1029" w:type="dxa"/>
            <w:vMerge w:val="continue"/>
            <w:tcBorders>
              <w:top w:val="nil"/>
              <w:left w:val="nil"/>
              <w:bottom w:val="single" w:color="000000" w:sz="4" w:space="0"/>
              <w:right w:val="nil"/>
            </w:tcBorders>
            <w:vAlign w:val="center"/>
          </w:tcPr>
          <w:p w14:paraId="4145F39F">
            <w:pPr>
              <w:jc w:val="center"/>
              <w:rPr>
                <w:rFonts w:ascii="Palatino Linotype" w:hAnsi="Palatino Linotype" w:eastAsia="宋体" w:cs="Palatino Linotype"/>
                <w:color w:val="000000"/>
                <w:sz w:val="16"/>
                <w:szCs w:val="16"/>
              </w:rPr>
            </w:pPr>
          </w:p>
        </w:tc>
        <w:tc>
          <w:tcPr>
            <w:tcW w:w="1961" w:type="dxa"/>
            <w:tcBorders>
              <w:top w:val="nil"/>
              <w:left w:val="nil"/>
              <w:bottom w:val="nil"/>
              <w:right w:val="nil"/>
            </w:tcBorders>
            <w:noWrap/>
            <w:vAlign w:val="center"/>
          </w:tcPr>
          <w:p w14:paraId="33A00409">
            <w:pPr>
              <w:widowControl/>
              <w:jc w:val="left"/>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Public transport vehicles per 10,000 population(X6)</w:t>
            </w:r>
          </w:p>
        </w:tc>
        <w:tc>
          <w:tcPr>
            <w:tcW w:w="3161" w:type="dxa"/>
            <w:tcBorders>
              <w:top w:val="nil"/>
              <w:left w:val="nil"/>
              <w:bottom w:val="nil"/>
              <w:right w:val="nil"/>
            </w:tcBorders>
            <w:noWrap/>
            <w:vAlign w:val="center"/>
          </w:tcPr>
          <w:p w14:paraId="1CC7AEFA">
            <w:pPr>
              <w:widowControl/>
              <w:jc w:val="left"/>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Number of operational public buses/trolleys (urban districts) per 10,000 permanent residents (units/10,000 persons)</w:t>
            </w:r>
          </w:p>
        </w:tc>
        <w:tc>
          <w:tcPr>
            <w:tcW w:w="1024" w:type="dxa"/>
            <w:tcBorders>
              <w:top w:val="nil"/>
              <w:left w:val="nil"/>
              <w:bottom w:val="nil"/>
              <w:right w:val="nil"/>
            </w:tcBorders>
            <w:noWrap/>
            <w:vAlign w:val="center"/>
          </w:tcPr>
          <w:p w14:paraId="33908144">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SSYB 2023</w:t>
            </w:r>
          </w:p>
        </w:tc>
        <w:tc>
          <w:tcPr>
            <w:tcW w:w="630" w:type="dxa"/>
            <w:tcBorders>
              <w:top w:val="nil"/>
              <w:left w:val="nil"/>
              <w:bottom w:val="nil"/>
              <w:right w:val="nil"/>
            </w:tcBorders>
            <w:noWrap/>
            <w:vAlign w:val="center"/>
          </w:tcPr>
          <w:p w14:paraId="49BBDC61">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w:t>
            </w:r>
          </w:p>
        </w:tc>
        <w:tc>
          <w:tcPr>
            <w:tcW w:w="760" w:type="dxa"/>
            <w:tcBorders>
              <w:top w:val="nil"/>
              <w:left w:val="nil"/>
              <w:bottom w:val="nil"/>
              <w:right w:val="nil"/>
            </w:tcBorders>
            <w:noWrap/>
            <w:vAlign w:val="center"/>
          </w:tcPr>
          <w:p w14:paraId="47024470">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 xml:space="preserve">0.144 </w:t>
            </w:r>
          </w:p>
        </w:tc>
      </w:tr>
      <w:tr w14:paraId="325C6730">
        <w:tblPrEx>
          <w:tblCellMar>
            <w:top w:w="0" w:type="dxa"/>
            <w:left w:w="108" w:type="dxa"/>
            <w:bottom w:w="0" w:type="dxa"/>
            <w:right w:w="108" w:type="dxa"/>
          </w:tblCellMar>
        </w:tblPrEx>
        <w:trPr>
          <w:trHeight w:val="472" w:hRule="atLeast"/>
        </w:trPr>
        <w:tc>
          <w:tcPr>
            <w:tcW w:w="955" w:type="dxa"/>
            <w:vMerge w:val="continue"/>
            <w:tcBorders>
              <w:top w:val="nil"/>
              <w:left w:val="nil"/>
              <w:bottom w:val="single" w:color="000000" w:sz="8" w:space="0"/>
              <w:right w:val="nil"/>
            </w:tcBorders>
            <w:vAlign w:val="center"/>
          </w:tcPr>
          <w:p w14:paraId="03E3AB1B">
            <w:pPr>
              <w:jc w:val="center"/>
              <w:rPr>
                <w:rFonts w:ascii="Palatino Linotype" w:hAnsi="Palatino Linotype" w:eastAsia="宋体" w:cs="Palatino Linotype"/>
                <w:color w:val="000000"/>
                <w:sz w:val="16"/>
                <w:szCs w:val="16"/>
              </w:rPr>
            </w:pPr>
          </w:p>
        </w:tc>
        <w:tc>
          <w:tcPr>
            <w:tcW w:w="1016" w:type="dxa"/>
            <w:vMerge w:val="continue"/>
            <w:tcBorders>
              <w:top w:val="nil"/>
              <w:left w:val="nil"/>
              <w:bottom w:val="single" w:color="000000" w:sz="4" w:space="0"/>
              <w:right w:val="nil"/>
            </w:tcBorders>
            <w:noWrap/>
            <w:vAlign w:val="center"/>
          </w:tcPr>
          <w:p w14:paraId="5027EA33">
            <w:pPr>
              <w:jc w:val="center"/>
              <w:rPr>
                <w:rFonts w:ascii="Palatino Linotype" w:hAnsi="Palatino Linotype" w:eastAsia="宋体" w:cs="Palatino Linotype"/>
                <w:color w:val="000000"/>
                <w:sz w:val="16"/>
                <w:szCs w:val="16"/>
              </w:rPr>
            </w:pPr>
          </w:p>
        </w:tc>
        <w:tc>
          <w:tcPr>
            <w:tcW w:w="1029" w:type="dxa"/>
            <w:vMerge w:val="continue"/>
            <w:tcBorders>
              <w:top w:val="nil"/>
              <w:left w:val="nil"/>
              <w:bottom w:val="single" w:color="000000" w:sz="4" w:space="0"/>
              <w:right w:val="nil"/>
            </w:tcBorders>
            <w:vAlign w:val="center"/>
          </w:tcPr>
          <w:p w14:paraId="265073A1">
            <w:pPr>
              <w:jc w:val="center"/>
              <w:rPr>
                <w:rFonts w:ascii="Palatino Linotype" w:hAnsi="Palatino Linotype" w:eastAsia="宋体" w:cs="Palatino Linotype"/>
                <w:color w:val="000000"/>
                <w:sz w:val="16"/>
                <w:szCs w:val="16"/>
              </w:rPr>
            </w:pPr>
          </w:p>
        </w:tc>
        <w:tc>
          <w:tcPr>
            <w:tcW w:w="1961" w:type="dxa"/>
            <w:tcBorders>
              <w:top w:val="nil"/>
              <w:left w:val="nil"/>
              <w:bottom w:val="single" w:color="000000" w:sz="4" w:space="0"/>
              <w:right w:val="nil"/>
            </w:tcBorders>
            <w:noWrap/>
            <w:vAlign w:val="center"/>
          </w:tcPr>
          <w:p w14:paraId="7770BDCD">
            <w:pPr>
              <w:widowControl/>
              <w:jc w:val="left"/>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Highway passenger traffic volume(X7)</w:t>
            </w:r>
          </w:p>
        </w:tc>
        <w:tc>
          <w:tcPr>
            <w:tcW w:w="3161" w:type="dxa"/>
            <w:tcBorders>
              <w:top w:val="nil"/>
              <w:left w:val="nil"/>
              <w:bottom w:val="single" w:color="000000" w:sz="4" w:space="0"/>
              <w:right w:val="nil"/>
            </w:tcBorders>
            <w:noWrap/>
            <w:vAlign w:val="center"/>
          </w:tcPr>
          <w:p w14:paraId="3B2E6B44">
            <w:pPr>
              <w:widowControl/>
              <w:jc w:val="left"/>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Annual highway passenger transport volume (10,000 persons)</w:t>
            </w:r>
          </w:p>
        </w:tc>
        <w:tc>
          <w:tcPr>
            <w:tcW w:w="1024" w:type="dxa"/>
            <w:tcBorders>
              <w:top w:val="nil"/>
              <w:left w:val="nil"/>
              <w:bottom w:val="single" w:color="000000" w:sz="4" w:space="0"/>
              <w:right w:val="nil"/>
            </w:tcBorders>
            <w:noWrap/>
            <w:vAlign w:val="center"/>
          </w:tcPr>
          <w:p w14:paraId="7ED5EB0A">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STYB 2023</w:t>
            </w:r>
          </w:p>
        </w:tc>
        <w:tc>
          <w:tcPr>
            <w:tcW w:w="630" w:type="dxa"/>
            <w:tcBorders>
              <w:top w:val="nil"/>
              <w:left w:val="nil"/>
              <w:bottom w:val="single" w:color="000000" w:sz="4" w:space="0"/>
              <w:right w:val="nil"/>
            </w:tcBorders>
            <w:noWrap/>
            <w:vAlign w:val="center"/>
          </w:tcPr>
          <w:p w14:paraId="6FA6C894">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w:t>
            </w:r>
          </w:p>
        </w:tc>
        <w:tc>
          <w:tcPr>
            <w:tcW w:w="760" w:type="dxa"/>
            <w:tcBorders>
              <w:top w:val="nil"/>
              <w:left w:val="nil"/>
              <w:bottom w:val="single" w:color="000000" w:sz="4" w:space="0"/>
              <w:right w:val="nil"/>
            </w:tcBorders>
            <w:noWrap/>
            <w:vAlign w:val="center"/>
          </w:tcPr>
          <w:p w14:paraId="6C69CFF9">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 xml:space="preserve">0.120 </w:t>
            </w:r>
          </w:p>
        </w:tc>
      </w:tr>
      <w:tr w14:paraId="19935757">
        <w:tblPrEx>
          <w:tblCellMar>
            <w:top w:w="0" w:type="dxa"/>
            <w:left w:w="108" w:type="dxa"/>
            <w:bottom w:w="0" w:type="dxa"/>
            <w:right w:w="108" w:type="dxa"/>
          </w:tblCellMar>
        </w:tblPrEx>
        <w:trPr>
          <w:trHeight w:val="243" w:hRule="atLeast"/>
        </w:trPr>
        <w:tc>
          <w:tcPr>
            <w:tcW w:w="955" w:type="dxa"/>
            <w:vMerge w:val="continue"/>
            <w:tcBorders>
              <w:top w:val="nil"/>
              <w:left w:val="nil"/>
              <w:bottom w:val="single" w:color="000000" w:sz="8" w:space="0"/>
              <w:right w:val="nil"/>
            </w:tcBorders>
            <w:vAlign w:val="center"/>
          </w:tcPr>
          <w:p w14:paraId="1DEF6D4A">
            <w:pPr>
              <w:jc w:val="center"/>
              <w:rPr>
                <w:rFonts w:ascii="Palatino Linotype" w:hAnsi="Palatino Linotype" w:eastAsia="宋体" w:cs="Palatino Linotype"/>
                <w:color w:val="000000"/>
                <w:sz w:val="16"/>
                <w:szCs w:val="16"/>
              </w:rPr>
            </w:pPr>
          </w:p>
        </w:tc>
        <w:tc>
          <w:tcPr>
            <w:tcW w:w="1016" w:type="dxa"/>
            <w:vMerge w:val="continue"/>
            <w:tcBorders>
              <w:top w:val="nil"/>
              <w:left w:val="nil"/>
              <w:bottom w:val="single" w:color="000000" w:sz="4" w:space="0"/>
              <w:right w:val="nil"/>
            </w:tcBorders>
            <w:noWrap/>
            <w:vAlign w:val="center"/>
          </w:tcPr>
          <w:p w14:paraId="054062FD">
            <w:pPr>
              <w:jc w:val="center"/>
              <w:rPr>
                <w:rFonts w:ascii="Palatino Linotype" w:hAnsi="Palatino Linotype" w:eastAsia="宋体" w:cs="Palatino Linotype"/>
                <w:color w:val="000000"/>
                <w:sz w:val="16"/>
                <w:szCs w:val="16"/>
              </w:rPr>
            </w:pPr>
          </w:p>
        </w:tc>
        <w:tc>
          <w:tcPr>
            <w:tcW w:w="1029" w:type="dxa"/>
            <w:vMerge w:val="restart"/>
            <w:tcBorders>
              <w:top w:val="nil"/>
              <w:left w:val="nil"/>
              <w:bottom w:val="single" w:color="000000" w:sz="4" w:space="0"/>
              <w:right w:val="nil"/>
            </w:tcBorders>
            <w:vAlign w:val="center"/>
          </w:tcPr>
          <w:p w14:paraId="122232BE">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 xml:space="preserve">Environmental </w:t>
            </w:r>
            <w:r>
              <w:rPr>
                <w:rFonts w:ascii="Palatino Linotype" w:hAnsi="Palatino Linotype" w:eastAsia="宋体" w:cs="Palatino Linotype"/>
                <w:color w:val="000000"/>
                <w:kern w:val="0"/>
                <w:sz w:val="16"/>
                <w:szCs w:val="16"/>
                <w:lang w:bidi="ar"/>
              </w:rPr>
              <w:br w:type="textWrapping"/>
            </w:r>
            <w:r>
              <w:rPr>
                <w:rFonts w:ascii="Palatino Linotype" w:hAnsi="Palatino Linotype" w:eastAsia="宋体" w:cs="Palatino Linotype"/>
                <w:color w:val="000000"/>
                <w:kern w:val="0"/>
                <w:sz w:val="16"/>
                <w:szCs w:val="16"/>
                <w:lang w:bidi="ar"/>
              </w:rPr>
              <w:t>factors</w:t>
            </w:r>
          </w:p>
        </w:tc>
        <w:tc>
          <w:tcPr>
            <w:tcW w:w="1961" w:type="dxa"/>
            <w:tcBorders>
              <w:top w:val="nil"/>
              <w:left w:val="nil"/>
              <w:bottom w:val="nil"/>
              <w:right w:val="nil"/>
            </w:tcBorders>
            <w:noWrap/>
            <w:vAlign w:val="center"/>
          </w:tcPr>
          <w:p w14:paraId="45016AA8">
            <w:pPr>
              <w:widowControl/>
              <w:jc w:val="left"/>
              <w:textAlignment w:val="center"/>
              <w:rPr>
                <w:rFonts w:ascii="Palatino Linotype" w:hAnsi="Palatino Linotype" w:eastAsia="宋体" w:cs="Palatino Linotype"/>
                <w:color w:val="000000"/>
                <w:sz w:val="16"/>
                <w:szCs w:val="16"/>
              </w:rPr>
            </w:pPr>
            <w:r>
              <w:rPr>
                <w:rStyle w:val="13"/>
                <w:rFonts w:hint="default" w:ascii="Palatino Linotype" w:hAnsi="Palatino Linotype" w:cs="Palatino Linotype"/>
                <w:sz w:val="16"/>
                <w:szCs w:val="16"/>
                <w:lang w:bidi="ar"/>
              </w:rPr>
              <w:t>PM</w:t>
            </w:r>
            <w:r>
              <w:rPr>
                <w:rStyle w:val="14"/>
                <w:rFonts w:ascii="Palatino Linotype" w:hAnsi="Palatino Linotype" w:eastAsia="宋体" w:cs="Palatino Linotype"/>
                <w:sz w:val="16"/>
                <w:szCs w:val="16"/>
                <w:lang w:bidi="ar"/>
              </w:rPr>
              <w:t>₂</w:t>
            </w:r>
            <w:r>
              <w:rPr>
                <w:rStyle w:val="13"/>
                <w:rFonts w:hint="default" w:ascii="Palatino Linotype" w:hAnsi="Palatino Linotype" w:cs="Palatino Linotype"/>
                <w:sz w:val="16"/>
                <w:szCs w:val="16"/>
                <w:lang w:bidi="ar"/>
              </w:rPr>
              <w:t>.</w:t>
            </w:r>
            <w:r>
              <w:rPr>
                <w:rStyle w:val="14"/>
                <w:rFonts w:ascii="Palatino Linotype" w:hAnsi="Palatino Linotype" w:eastAsia="宋体" w:cs="Palatino Linotype"/>
                <w:sz w:val="16"/>
                <w:szCs w:val="16"/>
                <w:lang w:bidi="ar"/>
              </w:rPr>
              <w:t>₅</w:t>
            </w:r>
            <w:r>
              <w:rPr>
                <w:rStyle w:val="13"/>
                <w:rFonts w:hint="default" w:ascii="Palatino Linotype" w:hAnsi="Palatino Linotype" w:cs="Palatino Linotype"/>
                <w:sz w:val="16"/>
                <w:szCs w:val="16"/>
                <w:lang w:bidi="ar"/>
              </w:rPr>
              <w:t xml:space="preserve"> concentration(X8)</w:t>
            </w:r>
          </w:p>
        </w:tc>
        <w:tc>
          <w:tcPr>
            <w:tcW w:w="3161" w:type="dxa"/>
            <w:tcBorders>
              <w:top w:val="nil"/>
              <w:left w:val="nil"/>
              <w:bottom w:val="nil"/>
              <w:right w:val="nil"/>
            </w:tcBorders>
            <w:noWrap/>
            <w:vAlign w:val="center"/>
          </w:tcPr>
          <w:p w14:paraId="62657B62">
            <w:pPr>
              <w:widowControl/>
              <w:jc w:val="left"/>
              <w:textAlignment w:val="center"/>
              <w:rPr>
                <w:rFonts w:ascii="Palatino Linotype" w:hAnsi="Palatino Linotype" w:eastAsia="宋体" w:cs="Palatino Linotype"/>
                <w:color w:val="000000"/>
                <w:sz w:val="16"/>
                <w:szCs w:val="16"/>
              </w:rPr>
            </w:pPr>
            <w:r>
              <w:rPr>
                <w:rStyle w:val="15"/>
                <w:rFonts w:hint="default" w:ascii="Palatino Linotype" w:hAnsi="Palatino Linotype" w:cs="Palatino Linotype"/>
                <w:sz w:val="16"/>
                <w:szCs w:val="16"/>
                <w:lang w:bidi="ar"/>
              </w:rPr>
              <w:t>Annual mean Air Quality Index (</w:t>
            </w:r>
            <w:r>
              <w:rPr>
                <w:rStyle w:val="16"/>
                <w:rFonts w:ascii="Palatino Linotype" w:hAnsi="Palatino Linotype" w:eastAsia="宋体" w:cs="Palatino Linotype"/>
                <w:sz w:val="16"/>
                <w:szCs w:val="16"/>
                <w:lang w:bidi="ar"/>
              </w:rPr>
              <w:t>μ</w:t>
            </w:r>
            <w:r>
              <w:rPr>
                <w:rStyle w:val="15"/>
                <w:rFonts w:hint="default" w:ascii="Palatino Linotype" w:hAnsi="Palatino Linotype" w:cs="Palatino Linotype"/>
                <w:sz w:val="16"/>
                <w:szCs w:val="16"/>
                <w:lang w:bidi="ar"/>
              </w:rPr>
              <w:t>g/m³)</w:t>
            </w:r>
          </w:p>
        </w:tc>
        <w:tc>
          <w:tcPr>
            <w:tcW w:w="1024" w:type="dxa"/>
            <w:tcBorders>
              <w:top w:val="nil"/>
              <w:left w:val="nil"/>
              <w:bottom w:val="nil"/>
              <w:right w:val="nil"/>
            </w:tcBorders>
            <w:noWrap/>
            <w:vAlign w:val="center"/>
          </w:tcPr>
          <w:p w14:paraId="6A3B3BF6">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SEEB2023</w:t>
            </w:r>
          </w:p>
        </w:tc>
        <w:tc>
          <w:tcPr>
            <w:tcW w:w="630" w:type="dxa"/>
            <w:tcBorders>
              <w:top w:val="nil"/>
              <w:left w:val="nil"/>
              <w:bottom w:val="nil"/>
              <w:right w:val="nil"/>
            </w:tcBorders>
            <w:noWrap/>
            <w:vAlign w:val="center"/>
          </w:tcPr>
          <w:p w14:paraId="7D7832A4">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w:t>
            </w:r>
          </w:p>
        </w:tc>
        <w:tc>
          <w:tcPr>
            <w:tcW w:w="760" w:type="dxa"/>
            <w:tcBorders>
              <w:top w:val="nil"/>
              <w:left w:val="nil"/>
              <w:bottom w:val="nil"/>
              <w:right w:val="nil"/>
            </w:tcBorders>
            <w:noWrap/>
            <w:vAlign w:val="center"/>
          </w:tcPr>
          <w:p w14:paraId="073BBB76">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 xml:space="preserve">0.075 </w:t>
            </w:r>
          </w:p>
        </w:tc>
      </w:tr>
      <w:tr w14:paraId="65B03CF9">
        <w:tblPrEx>
          <w:tblCellMar>
            <w:top w:w="0" w:type="dxa"/>
            <w:left w:w="108" w:type="dxa"/>
            <w:bottom w:w="0" w:type="dxa"/>
            <w:right w:w="108" w:type="dxa"/>
          </w:tblCellMar>
        </w:tblPrEx>
        <w:trPr>
          <w:trHeight w:val="243" w:hRule="atLeast"/>
        </w:trPr>
        <w:tc>
          <w:tcPr>
            <w:tcW w:w="955" w:type="dxa"/>
            <w:vMerge w:val="continue"/>
            <w:tcBorders>
              <w:top w:val="nil"/>
              <w:left w:val="nil"/>
              <w:bottom w:val="single" w:color="000000" w:sz="8" w:space="0"/>
              <w:right w:val="nil"/>
            </w:tcBorders>
            <w:vAlign w:val="center"/>
          </w:tcPr>
          <w:p w14:paraId="448A644B">
            <w:pPr>
              <w:jc w:val="center"/>
              <w:rPr>
                <w:rFonts w:ascii="Palatino Linotype" w:hAnsi="Palatino Linotype" w:eastAsia="宋体" w:cs="Palatino Linotype"/>
                <w:color w:val="000000"/>
                <w:sz w:val="16"/>
                <w:szCs w:val="16"/>
              </w:rPr>
            </w:pPr>
          </w:p>
        </w:tc>
        <w:tc>
          <w:tcPr>
            <w:tcW w:w="1016" w:type="dxa"/>
            <w:vMerge w:val="continue"/>
            <w:tcBorders>
              <w:top w:val="nil"/>
              <w:left w:val="nil"/>
              <w:bottom w:val="single" w:color="000000" w:sz="4" w:space="0"/>
              <w:right w:val="nil"/>
            </w:tcBorders>
            <w:noWrap/>
            <w:vAlign w:val="center"/>
          </w:tcPr>
          <w:p w14:paraId="0C367A39">
            <w:pPr>
              <w:jc w:val="center"/>
              <w:rPr>
                <w:rFonts w:ascii="Palatino Linotype" w:hAnsi="Palatino Linotype" w:eastAsia="宋体" w:cs="Palatino Linotype"/>
                <w:color w:val="000000"/>
                <w:sz w:val="16"/>
                <w:szCs w:val="16"/>
              </w:rPr>
            </w:pPr>
          </w:p>
        </w:tc>
        <w:tc>
          <w:tcPr>
            <w:tcW w:w="1029" w:type="dxa"/>
            <w:vMerge w:val="continue"/>
            <w:tcBorders>
              <w:top w:val="nil"/>
              <w:left w:val="nil"/>
              <w:bottom w:val="single" w:color="000000" w:sz="4" w:space="0"/>
              <w:right w:val="nil"/>
            </w:tcBorders>
            <w:vAlign w:val="center"/>
          </w:tcPr>
          <w:p w14:paraId="20FBA28B">
            <w:pPr>
              <w:jc w:val="center"/>
              <w:rPr>
                <w:rFonts w:ascii="Palatino Linotype" w:hAnsi="Palatino Linotype" w:eastAsia="宋体" w:cs="Palatino Linotype"/>
                <w:color w:val="000000"/>
                <w:sz w:val="16"/>
                <w:szCs w:val="16"/>
              </w:rPr>
            </w:pPr>
          </w:p>
        </w:tc>
        <w:tc>
          <w:tcPr>
            <w:tcW w:w="1961" w:type="dxa"/>
            <w:tcBorders>
              <w:top w:val="nil"/>
              <w:left w:val="nil"/>
              <w:bottom w:val="nil"/>
              <w:right w:val="nil"/>
            </w:tcBorders>
            <w:noWrap/>
            <w:vAlign w:val="center"/>
          </w:tcPr>
          <w:p w14:paraId="70976D0F">
            <w:pPr>
              <w:widowControl/>
              <w:jc w:val="left"/>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Relative humidity(X9)</w:t>
            </w:r>
          </w:p>
        </w:tc>
        <w:tc>
          <w:tcPr>
            <w:tcW w:w="3161" w:type="dxa"/>
            <w:tcBorders>
              <w:top w:val="nil"/>
              <w:left w:val="nil"/>
              <w:bottom w:val="nil"/>
              <w:right w:val="nil"/>
            </w:tcBorders>
            <w:noWrap/>
            <w:vAlign w:val="center"/>
          </w:tcPr>
          <w:p w14:paraId="7C3FCBFC">
            <w:pPr>
              <w:widowControl/>
              <w:jc w:val="left"/>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Annual mean relative humidity (%)</w:t>
            </w:r>
          </w:p>
        </w:tc>
        <w:tc>
          <w:tcPr>
            <w:tcW w:w="1024" w:type="dxa"/>
            <w:tcBorders>
              <w:top w:val="nil"/>
              <w:left w:val="nil"/>
              <w:bottom w:val="nil"/>
              <w:right w:val="nil"/>
            </w:tcBorders>
            <w:noWrap/>
            <w:vAlign w:val="center"/>
          </w:tcPr>
          <w:p w14:paraId="36818659">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SSYB 2023</w:t>
            </w:r>
          </w:p>
        </w:tc>
        <w:tc>
          <w:tcPr>
            <w:tcW w:w="630" w:type="dxa"/>
            <w:tcBorders>
              <w:top w:val="nil"/>
              <w:left w:val="nil"/>
              <w:bottom w:val="nil"/>
              <w:right w:val="nil"/>
            </w:tcBorders>
            <w:noWrap/>
            <w:vAlign w:val="center"/>
          </w:tcPr>
          <w:p w14:paraId="220BCB4B">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w:t>
            </w:r>
          </w:p>
        </w:tc>
        <w:tc>
          <w:tcPr>
            <w:tcW w:w="760" w:type="dxa"/>
            <w:tcBorders>
              <w:top w:val="nil"/>
              <w:left w:val="nil"/>
              <w:bottom w:val="nil"/>
              <w:right w:val="nil"/>
            </w:tcBorders>
            <w:noWrap/>
            <w:vAlign w:val="center"/>
          </w:tcPr>
          <w:p w14:paraId="3982B03F">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 xml:space="preserve">0.029 </w:t>
            </w:r>
          </w:p>
        </w:tc>
      </w:tr>
      <w:tr w14:paraId="1F1FA5F4">
        <w:tblPrEx>
          <w:tblCellMar>
            <w:top w:w="0" w:type="dxa"/>
            <w:left w:w="108" w:type="dxa"/>
            <w:bottom w:w="0" w:type="dxa"/>
            <w:right w:w="108" w:type="dxa"/>
          </w:tblCellMar>
        </w:tblPrEx>
        <w:trPr>
          <w:trHeight w:val="243" w:hRule="atLeast"/>
        </w:trPr>
        <w:tc>
          <w:tcPr>
            <w:tcW w:w="955" w:type="dxa"/>
            <w:vMerge w:val="continue"/>
            <w:tcBorders>
              <w:top w:val="nil"/>
              <w:left w:val="nil"/>
              <w:bottom w:val="single" w:color="000000" w:sz="8" w:space="0"/>
              <w:right w:val="nil"/>
            </w:tcBorders>
            <w:vAlign w:val="center"/>
          </w:tcPr>
          <w:p w14:paraId="351FFF5D">
            <w:pPr>
              <w:jc w:val="center"/>
              <w:rPr>
                <w:rFonts w:ascii="Palatino Linotype" w:hAnsi="Palatino Linotype" w:eastAsia="宋体" w:cs="Palatino Linotype"/>
                <w:color w:val="000000"/>
                <w:sz w:val="16"/>
                <w:szCs w:val="16"/>
              </w:rPr>
            </w:pPr>
          </w:p>
        </w:tc>
        <w:tc>
          <w:tcPr>
            <w:tcW w:w="1016" w:type="dxa"/>
            <w:vMerge w:val="continue"/>
            <w:tcBorders>
              <w:top w:val="nil"/>
              <w:left w:val="nil"/>
              <w:bottom w:val="single" w:color="000000" w:sz="4" w:space="0"/>
              <w:right w:val="nil"/>
            </w:tcBorders>
            <w:noWrap/>
            <w:vAlign w:val="center"/>
          </w:tcPr>
          <w:p w14:paraId="279463A2">
            <w:pPr>
              <w:jc w:val="center"/>
              <w:rPr>
                <w:rFonts w:ascii="Palatino Linotype" w:hAnsi="Palatino Linotype" w:eastAsia="宋体" w:cs="Palatino Linotype"/>
                <w:color w:val="000000"/>
                <w:sz w:val="16"/>
                <w:szCs w:val="16"/>
              </w:rPr>
            </w:pPr>
          </w:p>
        </w:tc>
        <w:tc>
          <w:tcPr>
            <w:tcW w:w="1029" w:type="dxa"/>
            <w:vMerge w:val="continue"/>
            <w:tcBorders>
              <w:top w:val="nil"/>
              <w:left w:val="nil"/>
              <w:bottom w:val="single" w:color="000000" w:sz="4" w:space="0"/>
              <w:right w:val="nil"/>
            </w:tcBorders>
            <w:vAlign w:val="center"/>
          </w:tcPr>
          <w:p w14:paraId="02BF1752">
            <w:pPr>
              <w:jc w:val="center"/>
              <w:rPr>
                <w:rFonts w:ascii="Palatino Linotype" w:hAnsi="Palatino Linotype" w:eastAsia="宋体" w:cs="Palatino Linotype"/>
                <w:color w:val="000000"/>
                <w:sz w:val="16"/>
                <w:szCs w:val="16"/>
              </w:rPr>
            </w:pPr>
          </w:p>
        </w:tc>
        <w:tc>
          <w:tcPr>
            <w:tcW w:w="1961" w:type="dxa"/>
            <w:tcBorders>
              <w:top w:val="nil"/>
              <w:left w:val="nil"/>
              <w:bottom w:val="single" w:color="000000" w:sz="4" w:space="0"/>
              <w:right w:val="nil"/>
            </w:tcBorders>
            <w:noWrap/>
            <w:vAlign w:val="center"/>
          </w:tcPr>
          <w:p w14:paraId="77EE539E">
            <w:pPr>
              <w:widowControl/>
              <w:jc w:val="left"/>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Mean air temperature(X10)</w:t>
            </w:r>
          </w:p>
        </w:tc>
        <w:tc>
          <w:tcPr>
            <w:tcW w:w="3161" w:type="dxa"/>
            <w:tcBorders>
              <w:top w:val="nil"/>
              <w:left w:val="nil"/>
              <w:bottom w:val="single" w:color="000000" w:sz="4" w:space="0"/>
              <w:right w:val="nil"/>
            </w:tcBorders>
            <w:noWrap/>
            <w:vAlign w:val="center"/>
          </w:tcPr>
          <w:p w14:paraId="0D0AC266">
            <w:pPr>
              <w:widowControl/>
              <w:jc w:val="left"/>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Annual mean air temperature (°C)</w:t>
            </w:r>
          </w:p>
        </w:tc>
        <w:tc>
          <w:tcPr>
            <w:tcW w:w="1024" w:type="dxa"/>
            <w:tcBorders>
              <w:top w:val="nil"/>
              <w:left w:val="nil"/>
              <w:bottom w:val="single" w:color="000000" w:sz="4" w:space="0"/>
              <w:right w:val="nil"/>
            </w:tcBorders>
            <w:noWrap/>
            <w:vAlign w:val="center"/>
          </w:tcPr>
          <w:p w14:paraId="70D0801E">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SSYB 2023</w:t>
            </w:r>
          </w:p>
        </w:tc>
        <w:tc>
          <w:tcPr>
            <w:tcW w:w="630" w:type="dxa"/>
            <w:tcBorders>
              <w:top w:val="nil"/>
              <w:left w:val="nil"/>
              <w:bottom w:val="single" w:color="000000" w:sz="4" w:space="0"/>
              <w:right w:val="nil"/>
            </w:tcBorders>
            <w:noWrap/>
            <w:vAlign w:val="center"/>
          </w:tcPr>
          <w:p w14:paraId="09D00087">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w:t>
            </w:r>
          </w:p>
        </w:tc>
        <w:tc>
          <w:tcPr>
            <w:tcW w:w="760" w:type="dxa"/>
            <w:tcBorders>
              <w:top w:val="nil"/>
              <w:left w:val="nil"/>
              <w:bottom w:val="single" w:color="000000" w:sz="4" w:space="0"/>
              <w:right w:val="nil"/>
            </w:tcBorders>
            <w:noWrap/>
            <w:vAlign w:val="center"/>
          </w:tcPr>
          <w:p w14:paraId="0BB0F7D0">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 xml:space="preserve">0.044 </w:t>
            </w:r>
          </w:p>
        </w:tc>
      </w:tr>
      <w:tr w14:paraId="49747B26">
        <w:tblPrEx>
          <w:tblCellMar>
            <w:top w:w="0" w:type="dxa"/>
            <w:left w:w="108" w:type="dxa"/>
            <w:bottom w:w="0" w:type="dxa"/>
            <w:right w:w="108" w:type="dxa"/>
          </w:tblCellMar>
        </w:tblPrEx>
        <w:trPr>
          <w:trHeight w:val="243" w:hRule="atLeast"/>
        </w:trPr>
        <w:tc>
          <w:tcPr>
            <w:tcW w:w="955" w:type="dxa"/>
            <w:vMerge w:val="continue"/>
            <w:tcBorders>
              <w:top w:val="nil"/>
              <w:left w:val="nil"/>
              <w:bottom w:val="single" w:color="000000" w:sz="8" w:space="0"/>
              <w:right w:val="nil"/>
            </w:tcBorders>
            <w:vAlign w:val="center"/>
          </w:tcPr>
          <w:p w14:paraId="1C2E4EBF">
            <w:pPr>
              <w:jc w:val="center"/>
              <w:rPr>
                <w:rFonts w:ascii="Palatino Linotype" w:hAnsi="Palatino Linotype" w:eastAsia="宋体" w:cs="Palatino Linotype"/>
                <w:color w:val="000000"/>
                <w:sz w:val="16"/>
                <w:szCs w:val="16"/>
              </w:rPr>
            </w:pPr>
          </w:p>
        </w:tc>
        <w:tc>
          <w:tcPr>
            <w:tcW w:w="1016" w:type="dxa"/>
            <w:vMerge w:val="restart"/>
            <w:tcBorders>
              <w:top w:val="nil"/>
              <w:left w:val="nil"/>
              <w:bottom w:val="single" w:color="000000" w:sz="8" w:space="0"/>
              <w:right w:val="nil"/>
            </w:tcBorders>
            <w:noWrap/>
            <w:vAlign w:val="center"/>
          </w:tcPr>
          <w:p w14:paraId="378FA557">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Urban Vulnerability</w:t>
            </w:r>
          </w:p>
        </w:tc>
        <w:tc>
          <w:tcPr>
            <w:tcW w:w="1029" w:type="dxa"/>
            <w:vMerge w:val="restart"/>
            <w:tcBorders>
              <w:top w:val="nil"/>
              <w:left w:val="nil"/>
              <w:bottom w:val="single" w:color="000000" w:sz="4" w:space="0"/>
              <w:right w:val="nil"/>
            </w:tcBorders>
            <w:noWrap/>
            <w:vAlign w:val="center"/>
          </w:tcPr>
          <w:p w14:paraId="1CC6DE0A">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Spatial Vulnerability</w:t>
            </w:r>
          </w:p>
        </w:tc>
        <w:tc>
          <w:tcPr>
            <w:tcW w:w="1961" w:type="dxa"/>
            <w:tcBorders>
              <w:top w:val="nil"/>
              <w:left w:val="nil"/>
              <w:bottom w:val="nil"/>
              <w:right w:val="nil"/>
            </w:tcBorders>
            <w:noWrap/>
            <w:vAlign w:val="center"/>
          </w:tcPr>
          <w:p w14:paraId="1440DA89">
            <w:pPr>
              <w:widowControl/>
              <w:jc w:val="left"/>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Residential density(X11)</w:t>
            </w:r>
          </w:p>
        </w:tc>
        <w:tc>
          <w:tcPr>
            <w:tcW w:w="3161" w:type="dxa"/>
            <w:tcBorders>
              <w:top w:val="nil"/>
              <w:left w:val="nil"/>
              <w:bottom w:val="nil"/>
              <w:right w:val="nil"/>
            </w:tcBorders>
            <w:noWrap/>
            <w:vAlign w:val="center"/>
          </w:tcPr>
          <w:p w14:paraId="170C7664">
            <w:pPr>
              <w:widowControl/>
              <w:jc w:val="left"/>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Per capita housing floor area (m²/person)</w:t>
            </w:r>
          </w:p>
        </w:tc>
        <w:tc>
          <w:tcPr>
            <w:tcW w:w="1024" w:type="dxa"/>
            <w:tcBorders>
              <w:top w:val="nil"/>
              <w:left w:val="nil"/>
              <w:bottom w:val="nil"/>
              <w:right w:val="nil"/>
            </w:tcBorders>
            <w:noWrap/>
            <w:vAlign w:val="center"/>
          </w:tcPr>
          <w:p w14:paraId="54268BC8">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SSYB 2023</w:t>
            </w:r>
          </w:p>
        </w:tc>
        <w:tc>
          <w:tcPr>
            <w:tcW w:w="630" w:type="dxa"/>
            <w:tcBorders>
              <w:top w:val="nil"/>
              <w:left w:val="nil"/>
              <w:bottom w:val="nil"/>
              <w:right w:val="nil"/>
            </w:tcBorders>
            <w:noWrap/>
            <w:vAlign w:val="center"/>
          </w:tcPr>
          <w:p w14:paraId="65CD4CFF">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w:t>
            </w:r>
          </w:p>
        </w:tc>
        <w:tc>
          <w:tcPr>
            <w:tcW w:w="760" w:type="dxa"/>
            <w:tcBorders>
              <w:top w:val="nil"/>
              <w:left w:val="nil"/>
              <w:bottom w:val="nil"/>
              <w:right w:val="nil"/>
            </w:tcBorders>
            <w:noWrap/>
            <w:vAlign w:val="center"/>
          </w:tcPr>
          <w:p w14:paraId="100FCE92">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 xml:space="preserve">0.123 </w:t>
            </w:r>
          </w:p>
        </w:tc>
      </w:tr>
      <w:tr w14:paraId="1E7C08AC">
        <w:tblPrEx>
          <w:tblCellMar>
            <w:top w:w="0" w:type="dxa"/>
            <w:left w:w="108" w:type="dxa"/>
            <w:bottom w:w="0" w:type="dxa"/>
            <w:right w:w="108" w:type="dxa"/>
          </w:tblCellMar>
        </w:tblPrEx>
        <w:trPr>
          <w:trHeight w:val="243" w:hRule="atLeast"/>
        </w:trPr>
        <w:tc>
          <w:tcPr>
            <w:tcW w:w="955" w:type="dxa"/>
            <w:vMerge w:val="continue"/>
            <w:tcBorders>
              <w:top w:val="nil"/>
              <w:left w:val="nil"/>
              <w:bottom w:val="single" w:color="000000" w:sz="8" w:space="0"/>
              <w:right w:val="nil"/>
            </w:tcBorders>
            <w:vAlign w:val="center"/>
          </w:tcPr>
          <w:p w14:paraId="14A53EEB">
            <w:pPr>
              <w:jc w:val="center"/>
              <w:rPr>
                <w:rFonts w:ascii="Palatino Linotype" w:hAnsi="Palatino Linotype" w:eastAsia="宋体" w:cs="Palatino Linotype"/>
                <w:color w:val="000000"/>
                <w:sz w:val="16"/>
                <w:szCs w:val="16"/>
              </w:rPr>
            </w:pPr>
          </w:p>
        </w:tc>
        <w:tc>
          <w:tcPr>
            <w:tcW w:w="1016" w:type="dxa"/>
            <w:vMerge w:val="continue"/>
            <w:tcBorders>
              <w:top w:val="nil"/>
              <w:left w:val="nil"/>
              <w:bottom w:val="single" w:color="000000" w:sz="8" w:space="0"/>
              <w:right w:val="nil"/>
            </w:tcBorders>
            <w:noWrap/>
            <w:vAlign w:val="center"/>
          </w:tcPr>
          <w:p w14:paraId="226B763E">
            <w:pPr>
              <w:jc w:val="center"/>
              <w:rPr>
                <w:rFonts w:ascii="Palatino Linotype" w:hAnsi="Palatino Linotype" w:eastAsia="宋体" w:cs="Palatino Linotype"/>
                <w:color w:val="000000"/>
                <w:sz w:val="16"/>
                <w:szCs w:val="16"/>
              </w:rPr>
            </w:pPr>
          </w:p>
        </w:tc>
        <w:tc>
          <w:tcPr>
            <w:tcW w:w="1029" w:type="dxa"/>
            <w:vMerge w:val="continue"/>
            <w:tcBorders>
              <w:top w:val="nil"/>
              <w:left w:val="nil"/>
              <w:bottom w:val="single" w:color="000000" w:sz="4" w:space="0"/>
              <w:right w:val="nil"/>
            </w:tcBorders>
            <w:noWrap/>
            <w:vAlign w:val="center"/>
          </w:tcPr>
          <w:p w14:paraId="0FA3FD32">
            <w:pPr>
              <w:jc w:val="center"/>
              <w:rPr>
                <w:rFonts w:ascii="Palatino Linotype" w:hAnsi="Palatino Linotype" w:eastAsia="宋体" w:cs="Palatino Linotype"/>
                <w:color w:val="000000"/>
                <w:sz w:val="16"/>
                <w:szCs w:val="16"/>
              </w:rPr>
            </w:pPr>
          </w:p>
        </w:tc>
        <w:tc>
          <w:tcPr>
            <w:tcW w:w="1961" w:type="dxa"/>
            <w:tcBorders>
              <w:top w:val="nil"/>
              <w:left w:val="nil"/>
              <w:bottom w:val="nil"/>
              <w:right w:val="nil"/>
            </w:tcBorders>
            <w:noWrap/>
            <w:vAlign w:val="center"/>
          </w:tcPr>
          <w:p w14:paraId="21352462">
            <w:pPr>
              <w:widowControl/>
              <w:jc w:val="left"/>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Amenity density(X12)</w:t>
            </w:r>
          </w:p>
        </w:tc>
        <w:tc>
          <w:tcPr>
            <w:tcW w:w="3161" w:type="dxa"/>
            <w:tcBorders>
              <w:top w:val="nil"/>
              <w:left w:val="nil"/>
              <w:bottom w:val="nil"/>
              <w:right w:val="nil"/>
            </w:tcBorders>
            <w:noWrap/>
            <w:vAlign w:val="center"/>
          </w:tcPr>
          <w:p w14:paraId="0EC18671">
            <w:pPr>
              <w:widowControl/>
              <w:jc w:val="left"/>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Number of convenience stores/supermarkets/shopping malls per km² (based on POI data)</w:t>
            </w:r>
          </w:p>
        </w:tc>
        <w:tc>
          <w:tcPr>
            <w:tcW w:w="1024" w:type="dxa"/>
            <w:tcBorders>
              <w:top w:val="nil"/>
              <w:left w:val="nil"/>
              <w:bottom w:val="nil"/>
              <w:right w:val="nil"/>
            </w:tcBorders>
            <w:noWrap/>
            <w:vAlign w:val="center"/>
          </w:tcPr>
          <w:p w14:paraId="314F516D">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Amap POI</w:t>
            </w:r>
          </w:p>
        </w:tc>
        <w:tc>
          <w:tcPr>
            <w:tcW w:w="630" w:type="dxa"/>
            <w:tcBorders>
              <w:top w:val="nil"/>
              <w:left w:val="nil"/>
              <w:bottom w:val="nil"/>
              <w:right w:val="nil"/>
            </w:tcBorders>
            <w:noWrap/>
            <w:vAlign w:val="center"/>
          </w:tcPr>
          <w:p w14:paraId="4AF39B2A">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w:t>
            </w:r>
          </w:p>
        </w:tc>
        <w:tc>
          <w:tcPr>
            <w:tcW w:w="760" w:type="dxa"/>
            <w:tcBorders>
              <w:top w:val="nil"/>
              <w:left w:val="nil"/>
              <w:bottom w:val="nil"/>
              <w:right w:val="nil"/>
            </w:tcBorders>
            <w:noWrap/>
            <w:vAlign w:val="center"/>
          </w:tcPr>
          <w:p w14:paraId="7E94688E">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 xml:space="preserve">0.072 </w:t>
            </w:r>
          </w:p>
        </w:tc>
      </w:tr>
      <w:tr w14:paraId="6AB1F903">
        <w:tblPrEx>
          <w:tblCellMar>
            <w:top w:w="0" w:type="dxa"/>
            <w:left w:w="108" w:type="dxa"/>
            <w:bottom w:w="0" w:type="dxa"/>
            <w:right w:w="108" w:type="dxa"/>
          </w:tblCellMar>
        </w:tblPrEx>
        <w:trPr>
          <w:trHeight w:val="243" w:hRule="atLeast"/>
        </w:trPr>
        <w:tc>
          <w:tcPr>
            <w:tcW w:w="955" w:type="dxa"/>
            <w:vMerge w:val="continue"/>
            <w:tcBorders>
              <w:top w:val="nil"/>
              <w:left w:val="nil"/>
              <w:bottom w:val="single" w:color="000000" w:sz="8" w:space="0"/>
              <w:right w:val="nil"/>
            </w:tcBorders>
            <w:vAlign w:val="center"/>
          </w:tcPr>
          <w:p w14:paraId="17657658">
            <w:pPr>
              <w:jc w:val="center"/>
              <w:rPr>
                <w:rFonts w:ascii="Palatino Linotype" w:hAnsi="Palatino Linotype" w:eastAsia="宋体" w:cs="Palatino Linotype"/>
                <w:color w:val="000000"/>
                <w:sz w:val="16"/>
                <w:szCs w:val="16"/>
              </w:rPr>
            </w:pPr>
          </w:p>
        </w:tc>
        <w:tc>
          <w:tcPr>
            <w:tcW w:w="1016" w:type="dxa"/>
            <w:vMerge w:val="continue"/>
            <w:tcBorders>
              <w:top w:val="nil"/>
              <w:left w:val="nil"/>
              <w:bottom w:val="single" w:color="000000" w:sz="8" w:space="0"/>
              <w:right w:val="nil"/>
            </w:tcBorders>
            <w:noWrap/>
            <w:vAlign w:val="center"/>
          </w:tcPr>
          <w:p w14:paraId="2A79C8DD">
            <w:pPr>
              <w:jc w:val="center"/>
              <w:rPr>
                <w:rFonts w:ascii="Palatino Linotype" w:hAnsi="Palatino Linotype" w:eastAsia="宋体" w:cs="Palatino Linotype"/>
                <w:color w:val="000000"/>
                <w:sz w:val="16"/>
                <w:szCs w:val="16"/>
              </w:rPr>
            </w:pPr>
          </w:p>
        </w:tc>
        <w:tc>
          <w:tcPr>
            <w:tcW w:w="1029" w:type="dxa"/>
            <w:vMerge w:val="continue"/>
            <w:tcBorders>
              <w:top w:val="nil"/>
              <w:left w:val="nil"/>
              <w:bottom w:val="single" w:color="000000" w:sz="4" w:space="0"/>
              <w:right w:val="nil"/>
            </w:tcBorders>
            <w:noWrap/>
            <w:vAlign w:val="center"/>
          </w:tcPr>
          <w:p w14:paraId="1D1B9749">
            <w:pPr>
              <w:jc w:val="center"/>
              <w:rPr>
                <w:rFonts w:ascii="Palatino Linotype" w:hAnsi="Palatino Linotype" w:eastAsia="宋体" w:cs="Palatino Linotype"/>
                <w:color w:val="000000"/>
                <w:sz w:val="16"/>
                <w:szCs w:val="16"/>
              </w:rPr>
            </w:pPr>
          </w:p>
        </w:tc>
        <w:tc>
          <w:tcPr>
            <w:tcW w:w="1961" w:type="dxa"/>
            <w:tcBorders>
              <w:top w:val="nil"/>
              <w:left w:val="nil"/>
              <w:bottom w:val="nil"/>
              <w:right w:val="nil"/>
            </w:tcBorders>
            <w:noWrap/>
            <w:vAlign w:val="center"/>
          </w:tcPr>
          <w:p w14:paraId="46878C8F">
            <w:pPr>
              <w:widowControl/>
              <w:jc w:val="left"/>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Transport facility density(X13)</w:t>
            </w:r>
          </w:p>
        </w:tc>
        <w:tc>
          <w:tcPr>
            <w:tcW w:w="3161" w:type="dxa"/>
            <w:tcBorders>
              <w:top w:val="nil"/>
              <w:left w:val="nil"/>
              <w:bottom w:val="nil"/>
              <w:right w:val="nil"/>
            </w:tcBorders>
            <w:noWrap/>
            <w:vAlign w:val="center"/>
          </w:tcPr>
          <w:p w14:paraId="592816E6">
            <w:pPr>
              <w:widowControl/>
              <w:jc w:val="left"/>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Number of bus stops per km² (based on POI data)</w:t>
            </w:r>
          </w:p>
        </w:tc>
        <w:tc>
          <w:tcPr>
            <w:tcW w:w="1024" w:type="dxa"/>
            <w:tcBorders>
              <w:top w:val="nil"/>
              <w:left w:val="nil"/>
              <w:bottom w:val="nil"/>
              <w:right w:val="nil"/>
            </w:tcBorders>
            <w:noWrap/>
            <w:vAlign w:val="center"/>
          </w:tcPr>
          <w:p w14:paraId="7203644C">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Amap POI</w:t>
            </w:r>
          </w:p>
        </w:tc>
        <w:tc>
          <w:tcPr>
            <w:tcW w:w="630" w:type="dxa"/>
            <w:tcBorders>
              <w:top w:val="nil"/>
              <w:left w:val="nil"/>
              <w:bottom w:val="nil"/>
              <w:right w:val="nil"/>
            </w:tcBorders>
            <w:noWrap/>
            <w:vAlign w:val="center"/>
          </w:tcPr>
          <w:p w14:paraId="072BA349">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w:t>
            </w:r>
          </w:p>
        </w:tc>
        <w:tc>
          <w:tcPr>
            <w:tcW w:w="760" w:type="dxa"/>
            <w:tcBorders>
              <w:top w:val="nil"/>
              <w:left w:val="nil"/>
              <w:bottom w:val="nil"/>
              <w:right w:val="nil"/>
            </w:tcBorders>
            <w:noWrap/>
            <w:vAlign w:val="center"/>
          </w:tcPr>
          <w:p w14:paraId="3023DBBF">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 xml:space="preserve">0.169 </w:t>
            </w:r>
          </w:p>
        </w:tc>
      </w:tr>
      <w:tr w14:paraId="7CA1A47C">
        <w:tblPrEx>
          <w:tblCellMar>
            <w:top w:w="0" w:type="dxa"/>
            <w:left w:w="108" w:type="dxa"/>
            <w:bottom w:w="0" w:type="dxa"/>
            <w:right w:w="108" w:type="dxa"/>
          </w:tblCellMar>
        </w:tblPrEx>
        <w:trPr>
          <w:trHeight w:val="243" w:hRule="atLeast"/>
        </w:trPr>
        <w:tc>
          <w:tcPr>
            <w:tcW w:w="955" w:type="dxa"/>
            <w:vMerge w:val="continue"/>
            <w:tcBorders>
              <w:top w:val="nil"/>
              <w:left w:val="nil"/>
              <w:bottom w:val="single" w:color="000000" w:sz="8" w:space="0"/>
              <w:right w:val="nil"/>
            </w:tcBorders>
            <w:vAlign w:val="center"/>
          </w:tcPr>
          <w:p w14:paraId="48AAE4FF">
            <w:pPr>
              <w:jc w:val="center"/>
              <w:rPr>
                <w:rFonts w:ascii="Palatino Linotype" w:hAnsi="Palatino Linotype" w:eastAsia="宋体" w:cs="Palatino Linotype"/>
                <w:color w:val="000000"/>
                <w:sz w:val="16"/>
                <w:szCs w:val="16"/>
              </w:rPr>
            </w:pPr>
          </w:p>
        </w:tc>
        <w:tc>
          <w:tcPr>
            <w:tcW w:w="1016" w:type="dxa"/>
            <w:vMerge w:val="continue"/>
            <w:tcBorders>
              <w:top w:val="nil"/>
              <w:left w:val="nil"/>
              <w:bottom w:val="single" w:color="000000" w:sz="8" w:space="0"/>
              <w:right w:val="nil"/>
            </w:tcBorders>
            <w:noWrap/>
            <w:vAlign w:val="center"/>
          </w:tcPr>
          <w:p w14:paraId="5F1FDC9B">
            <w:pPr>
              <w:jc w:val="center"/>
              <w:rPr>
                <w:rFonts w:ascii="Palatino Linotype" w:hAnsi="Palatino Linotype" w:eastAsia="宋体" w:cs="Palatino Linotype"/>
                <w:color w:val="000000"/>
                <w:sz w:val="16"/>
                <w:szCs w:val="16"/>
              </w:rPr>
            </w:pPr>
          </w:p>
        </w:tc>
        <w:tc>
          <w:tcPr>
            <w:tcW w:w="1029" w:type="dxa"/>
            <w:vMerge w:val="continue"/>
            <w:tcBorders>
              <w:top w:val="nil"/>
              <w:left w:val="nil"/>
              <w:bottom w:val="single" w:color="000000" w:sz="4" w:space="0"/>
              <w:right w:val="nil"/>
            </w:tcBorders>
            <w:noWrap/>
            <w:vAlign w:val="center"/>
          </w:tcPr>
          <w:p w14:paraId="645F1B92">
            <w:pPr>
              <w:jc w:val="center"/>
              <w:rPr>
                <w:rFonts w:ascii="Palatino Linotype" w:hAnsi="Palatino Linotype" w:eastAsia="宋体" w:cs="Palatino Linotype"/>
                <w:color w:val="000000"/>
                <w:sz w:val="16"/>
                <w:szCs w:val="16"/>
              </w:rPr>
            </w:pPr>
          </w:p>
        </w:tc>
        <w:tc>
          <w:tcPr>
            <w:tcW w:w="1961" w:type="dxa"/>
            <w:tcBorders>
              <w:top w:val="nil"/>
              <w:left w:val="nil"/>
              <w:bottom w:val="nil"/>
              <w:right w:val="nil"/>
            </w:tcBorders>
            <w:noWrap/>
            <w:vAlign w:val="center"/>
          </w:tcPr>
          <w:p w14:paraId="2FB19425">
            <w:pPr>
              <w:widowControl/>
              <w:jc w:val="left"/>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Green coverage rate(X14)</w:t>
            </w:r>
          </w:p>
        </w:tc>
        <w:tc>
          <w:tcPr>
            <w:tcW w:w="3161" w:type="dxa"/>
            <w:tcBorders>
              <w:top w:val="nil"/>
              <w:left w:val="nil"/>
              <w:bottom w:val="nil"/>
              <w:right w:val="nil"/>
            </w:tcBorders>
            <w:noWrap/>
            <w:vAlign w:val="center"/>
          </w:tcPr>
          <w:p w14:paraId="4A8D1CB1">
            <w:pPr>
              <w:widowControl/>
              <w:jc w:val="left"/>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Percentage of green space in built-up area (%)</w:t>
            </w:r>
          </w:p>
        </w:tc>
        <w:tc>
          <w:tcPr>
            <w:tcW w:w="1024" w:type="dxa"/>
            <w:tcBorders>
              <w:top w:val="nil"/>
              <w:left w:val="nil"/>
              <w:bottom w:val="nil"/>
              <w:right w:val="nil"/>
            </w:tcBorders>
            <w:noWrap/>
            <w:vAlign w:val="center"/>
          </w:tcPr>
          <w:p w14:paraId="2292968F">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SSYB 2023</w:t>
            </w:r>
          </w:p>
        </w:tc>
        <w:tc>
          <w:tcPr>
            <w:tcW w:w="630" w:type="dxa"/>
            <w:tcBorders>
              <w:top w:val="nil"/>
              <w:left w:val="nil"/>
              <w:bottom w:val="nil"/>
              <w:right w:val="nil"/>
            </w:tcBorders>
            <w:noWrap/>
            <w:vAlign w:val="center"/>
          </w:tcPr>
          <w:p w14:paraId="6CA6A0C5">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w:t>
            </w:r>
          </w:p>
        </w:tc>
        <w:tc>
          <w:tcPr>
            <w:tcW w:w="760" w:type="dxa"/>
            <w:tcBorders>
              <w:top w:val="nil"/>
              <w:left w:val="nil"/>
              <w:bottom w:val="nil"/>
              <w:right w:val="nil"/>
            </w:tcBorders>
            <w:noWrap/>
            <w:vAlign w:val="center"/>
          </w:tcPr>
          <w:p w14:paraId="4F72A7F1">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 xml:space="preserve">0.054 </w:t>
            </w:r>
          </w:p>
        </w:tc>
      </w:tr>
      <w:tr w14:paraId="138C8E09">
        <w:tblPrEx>
          <w:tblCellMar>
            <w:top w:w="0" w:type="dxa"/>
            <w:left w:w="108" w:type="dxa"/>
            <w:bottom w:w="0" w:type="dxa"/>
            <w:right w:w="108" w:type="dxa"/>
          </w:tblCellMar>
        </w:tblPrEx>
        <w:trPr>
          <w:trHeight w:val="243" w:hRule="atLeast"/>
        </w:trPr>
        <w:tc>
          <w:tcPr>
            <w:tcW w:w="955" w:type="dxa"/>
            <w:vMerge w:val="continue"/>
            <w:tcBorders>
              <w:top w:val="nil"/>
              <w:left w:val="nil"/>
              <w:bottom w:val="single" w:color="000000" w:sz="8" w:space="0"/>
              <w:right w:val="nil"/>
            </w:tcBorders>
            <w:vAlign w:val="center"/>
          </w:tcPr>
          <w:p w14:paraId="60302461">
            <w:pPr>
              <w:jc w:val="center"/>
              <w:rPr>
                <w:rFonts w:ascii="Palatino Linotype" w:hAnsi="Palatino Linotype" w:eastAsia="宋体" w:cs="Palatino Linotype"/>
                <w:color w:val="000000"/>
                <w:sz w:val="16"/>
                <w:szCs w:val="16"/>
              </w:rPr>
            </w:pPr>
          </w:p>
        </w:tc>
        <w:tc>
          <w:tcPr>
            <w:tcW w:w="1016" w:type="dxa"/>
            <w:vMerge w:val="continue"/>
            <w:tcBorders>
              <w:top w:val="nil"/>
              <w:left w:val="nil"/>
              <w:bottom w:val="single" w:color="000000" w:sz="8" w:space="0"/>
              <w:right w:val="nil"/>
            </w:tcBorders>
            <w:noWrap/>
            <w:vAlign w:val="center"/>
          </w:tcPr>
          <w:p w14:paraId="31F0767B">
            <w:pPr>
              <w:jc w:val="center"/>
              <w:rPr>
                <w:rFonts w:ascii="Palatino Linotype" w:hAnsi="Palatino Linotype" w:eastAsia="宋体" w:cs="Palatino Linotype"/>
                <w:color w:val="000000"/>
                <w:sz w:val="16"/>
                <w:szCs w:val="16"/>
              </w:rPr>
            </w:pPr>
          </w:p>
        </w:tc>
        <w:tc>
          <w:tcPr>
            <w:tcW w:w="1029" w:type="dxa"/>
            <w:vMerge w:val="continue"/>
            <w:tcBorders>
              <w:top w:val="nil"/>
              <w:left w:val="nil"/>
              <w:bottom w:val="single" w:color="000000" w:sz="4" w:space="0"/>
              <w:right w:val="nil"/>
            </w:tcBorders>
            <w:noWrap/>
            <w:vAlign w:val="center"/>
          </w:tcPr>
          <w:p w14:paraId="70FE0CF8">
            <w:pPr>
              <w:jc w:val="center"/>
              <w:rPr>
                <w:rFonts w:ascii="Palatino Linotype" w:hAnsi="Palatino Linotype" w:eastAsia="宋体" w:cs="Palatino Linotype"/>
                <w:color w:val="000000"/>
                <w:sz w:val="16"/>
                <w:szCs w:val="16"/>
              </w:rPr>
            </w:pPr>
          </w:p>
        </w:tc>
        <w:tc>
          <w:tcPr>
            <w:tcW w:w="1961" w:type="dxa"/>
            <w:tcBorders>
              <w:top w:val="nil"/>
              <w:left w:val="nil"/>
              <w:bottom w:val="single" w:color="000000" w:sz="4" w:space="0"/>
              <w:right w:val="nil"/>
            </w:tcBorders>
            <w:noWrap/>
            <w:vAlign w:val="center"/>
          </w:tcPr>
          <w:p w14:paraId="5D448073">
            <w:pPr>
              <w:widowControl/>
              <w:jc w:val="left"/>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Open space density(X15)</w:t>
            </w:r>
          </w:p>
        </w:tc>
        <w:tc>
          <w:tcPr>
            <w:tcW w:w="3161" w:type="dxa"/>
            <w:tcBorders>
              <w:top w:val="nil"/>
              <w:left w:val="nil"/>
              <w:bottom w:val="single" w:color="000000" w:sz="4" w:space="0"/>
              <w:right w:val="nil"/>
            </w:tcBorders>
            <w:noWrap/>
            <w:vAlign w:val="center"/>
          </w:tcPr>
          <w:p w14:paraId="2800AD72">
            <w:pPr>
              <w:widowControl/>
              <w:jc w:val="left"/>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Number of parks/public squares per km²</w:t>
            </w:r>
          </w:p>
        </w:tc>
        <w:tc>
          <w:tcPr>
            <w:tcW w:w="1024" w:type="dxa"/>
            <w:tcBorders>
              <w:top w:val="nil"/>
              <w:left w:val="nil"/>
              <w:bottom w:val="single" w:color="000000" w:sz="4" w:space="0"/>
              <w:right w:val="nil"/>
            </w:tcBorders>
            <w:noWrap/>
            <w:vAlign w:val="center"/>
          </w:tcPr>
          <w:p w14:paraId="3D0AB6F2">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SSYB 2023</w:t>
            </w:r>
          </w:p>
        </w:tc>
        <w:tc>
          <w:tcPr>
            <w:tcW w:w="630" w:type="dxa"/>
            <w:tcBorders>
              <w:top w:val="nil"/>
              <w:left w:val="nil"/>
              <w:bottom w:val="single" w:color="000000" w:sz="4" w:space="0"/>
              <w:right w:val="nil"/>
            </w:tcBorders>
            <w:noWrap/>
            <w:vAlign w:val="center"/>
          </w:tcPr>
          <w:p w14:paraId="5F193528">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w:t>
            </w:r>
          </w:p>
        </w:tc>
        <w:tc>
          <w:tcPr>
            <w:tcW w:w="760" w:type="dxa"/>
            <w:tcBorders>
              <w:top w:val="nil"/>
              <w:left w:val="nil"/>
              <w:bottom w:val="single" w:color="000000" w:sz="4" w:space="0"/>
              <w:right w:val="nil"/>
            </w:tcBorders>
            <w:noWrap/>
            <w:vAlign w:val="center"/>
          </w:tcPr>
          <w:p w14:paraId="6519382A">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 xml:space="preserve">0.093 </w:t>
            </w:r>
          </w:p>
        </w:tc>
      </w:tr>
      <w:tr w14:paraId="7E222F36">
        <w:tblPrEx>
          <w:tblCellMar>
            <w:top w:w="0" w:type="dxa"/>
            <w:left w:w="108" w:type="dxa"/>
            <w:bottom w:w="0" w:type="dxa"/>
            <w:right w:w="108" w:type="dxa"/>
          </w:tblCellMar>
        </w:tblPrEx>
        <w:trPr>
          <w:trHeight w:val="243" w:hRule="atLeast"/>
        </w:trPr>
        <w:tc>
          <w:tcPr>
            <w:tcW w:w="955" w:type="dxa"/>
            <w:vMerge w:val="continue"/>
            <w:tcBorders>
              <w:top w:val="nil"/>
              <w:left w:val="nil"/>
              <w:bottom w:val="single" w:color="000000" w:sz="8" w:space="0"/>
              <w:right w:val="nil"/>
            </w:tcBorders>
            <w:vAlign w:val="center"/>
          </w:tcPr>
          <w:p w14:paraId="12319C88">
            <w:pPr>
              <w:jc w:val="center"/>
              <w:rPr>
                <w:rFonts w:ascii="Palatino Linotype" w:hAnsi="Palatino Linotype" w:eastAsia="宋体" w:cs="Palatino Linotype"/>
                <w:color w:val="000000"/>
                <w:sz w:val="16"/>
                <w:szCs w:val="16"/>
              </w:rPr>
            </w:pPr>
          </w:p>
        </w:tc>
        <w:tc>
          <w:tcPr>
            <w:tcW w:w="1016" w:type="dxa"/>
            <w:vMerge w:val="continue"/>
            <w:tcBorders>
              <w:top w:val="nil"/>
              <w:left w:val="nil"/>
              <w:bottom w:val="single" w:color="000000" w:sz="8" w:space="0"/>
              <w:right w:val="nil"/>
            </w:tcBorders>
            <w:noWrap/>
            <w:vAlign w:val="center"/>
          </w:tcPr>
          <w:p w14:paraId="144EB5CC">
            <w:pPr>
              <w:jc w:val="center"/>
              <w:rPr>
                <w:rFonts w:ascii="Palatino Linotype" w:hAnsi="Palatino Linotype" w:eastAsia="宋体" w:cs="Palatino Linotype"/>
                <w:color w:val="000000"/>
                <w:sz w:val="16"/>
                <w:szCs w:val="16"/>
              </w:rPr>
            </w:pPr>
          </w:p>
        </w:tc>
        <w:tc>
          <w:tcPr>
            <w:tcW w:w="1029" w:type="dxa"/>
            <w:vMerge w:val="restart"/>
            <w:tcBorders>
              <w:top w:val="nil"/>
              <w:left w:val="nil"/>
              <w:bottom w:val="single" w:color="000000" w:sz="4" w:space="0"/>
              <w:right w:val="nil"/>
            </w:tcBorders>
            <w:noWrap/>
            <w:vAlign w:val="center"/>
          </w:tcPr>
          <w:p w14:paraId="2AA102EA">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Economic Vulnerability</w:t>
            </w:r>
          </w:p>
        </w:tc>
        <w:tc>
          <w:tcPr>
            <w:tcW w:w="1961" w:type="dxa"/>
            <w:tcBorders>
              <w:top w:val="nil"/>
              <w:left w:val="nil"/>
              <w:bottom w:val="nil"/>
              <w:right w:val="nil"/>
            </w:tcBorders>
            <w:noWrap/>
            <w:vAlign w:val="center"/>
          </w:tcPr>
          <w:p w14:paraId="7DF9A07F">
            <w:pPr>
              <w:widowControl/>
              <w:jc w:val="left"/>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Unemployment rate(X16)</w:t>
            </w:r>
          </w:p>
        </w:tc>
        <w:tc>
          <w:tcPr>
            <w:tcW w:w="3161" w:type="dxa"/>
            <w:tcBorders>
              <w:top w:val="nil"/>
              <w:left w:val="nil"/>
              <w:bottom w:val="nil"/>
              <w:right w:val="nil"/>
            </w:tcBorders>
            <w:noWrap/>
            <w:vAlign w:val="center"/>
          </w:tcPr>
          <w:p w14:paraId="6C8F3201">
            <w:pPr>
              <w:widowControl/>
              <w:jc w:val="left"/>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Registered urban unemployment rate (%)</w:t>
            </w:r>
          </w:p>
        </w:tc>
        <w:tc>
          <w:tcPr>
            <w:tcW w:w="1024" w:type="dxa"/>
            <w:tcBorders>
              <w:top w:val="nil"/>
              <w:left w:val="nil"/>
              <w:bottom w:val="nil"/>
              <w:right w:val="nil"/>
            </w:tcBorders>
            <w:noWrap/>
            <w:vAlign w:val="center"/>
          </w:tcPr>
          <w:p w14:paraId="4C7E3298">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MSYB2023</w:t>
            </w:r>
          </w:p>
        </w:tc>
        <w:tc>
          <w:tcPr>
            <w:tcW w:w="630" w:type="dxa"/>
            <w:tcBorders>
              <w:top w:val="nil"/>
              <w:left w:val="nil"/>
              <w:bottom w:val="nil"/>
              <w:right w:val="nil"/>
            </w:tcBorders>
            <w:noWrap/>
            <w:vAlign w:val="center"/>
          </w:tcPr>
          <w:p w14:paraId="2067D028">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w:t>
            </w:r>
          </w:p>
        </w:tc>
        <w:tc>
          <w:tcPr>
            <w:tcW w:w="760" w:type="dxa"/>
            <w:tcBorders>
              <w:top w:val="nil"/>
              <w:left w:val="nil"/>
              <w:bottom w:val="nil"/>
              <w:right w:val="nil"/>
            </w:tcBorders>
            <w:noWrap/>
            <w:vAlign w:val="center"/>
          </w:tcPr>
          <w:p w14:paraId="49A94754">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 xml:space="preserve">0.052 </w:t>
            </w:r>
          </w:p>
        </w:tc>
      </w:tr>
      <w:tr w14:paraId="48A932C2">
        <w:tblPrEx>
          <w:tblCellMar>
            <w:top w:w="0" w:type="dxa"/>
            <w:left w:w="108" w:type="dxa"/>
            <w:bottom w:w="0" w:type="dxa"/>
            <w:right w:w="108" w:type="dxa"/>
          </w:tblCellMar>
        </w:tblPrEx>
        <w:trPr>
          <w:trHeight w:val="243" w:hRule="atLeast"/>
        </w:trPr>
        <w:tc>
          <w:tcPr>
            <w:tcW w:w="955" w:type="dxa"/>
            <w:vMerge w:val="continue"/>
            <w:tcBorders>
              <w:top w:val="nil"/>
              <w:left w:val="nil"/>
              <w:bottom w:val="single" w:color="000000" w:sz="8" w:space="0"/>
              <w:right w:val="nil"/>
            </w:tcBorders>
            <w:vAlign w:val="center"/>
          </w:tcPr>
          <w:p w14:paraId="007A38AF">
            <w:pPr>
              <w:jc w:val="center"/>
              <w:rPr>
                <w:rFonts w:ascii="Palatino Linotype" w:hAnsi="Palatino Linotype" w:eastAsia="宋体" w:cs="Palatino Linotype"/>
                <w:color w:val="000000"/>
                <w:sz w:val="16"/>
                <w:szCs w:val="16"/>
              </w:rPr>
            </w:pPr>
          </w:p>
        </w:tc>
        <w:tc>
          <w:tcPr>
            <w:tcW w:w="1016" w:type="dxa"/>
            <w:vMerge w:val="continue"/>
            <w:tcBorders>
              <w:top w:val="nil"/>
              <w:left w:val="nil"/>
              <w:bottom w:val="single" w:color="000000" w:sz="8" w:space="0"/>
              <w:right w:val="nil"/>
            </w:tcBorders>
            <w:noWrap/>
            <w:vAlign w:val="center"/>
          </w:tcPr>
          <w:p w14:paraId="6BDD5409">
            <w:pPr>
              <w:jc w:val="center"/>
              <w:rPr>
                <w:rFonts w:ascii="Palatino Linotype" w:hAnsi="Palatino Linotype" w:eastAsia="宋体" w:cs="Palatino Linotype"/>
                <w:color w:val="000000"/>
                <w:sz w:val="16"/>
                <w:szCs w:val="16"/>
              </w:rPr>
            </w:pPr>
          </w:p>
        </w:tc>
        <w:tc>
          <w:tcPr>
            <w:tcW w:w="1029" w:type="dxa"/>
            <w:vMerge w:val="continue"/>
            <w:tcBorders>
              <w:top w:val="nil"/>
              <w:left w:val="nil"/>
              <w:bottom w:val="single" w:color="000000" w:sz="4" w:space="0"/>
              <w:right w:val="nil"/>
            </w:tcBorders>
            <w:noWrap/>
            <w:vAlign w:val="center"/>
          </w:tcPr>
          <w:p w14:paraId="24EDBB88">
            <w:pPr>
              <w:jc w:val="center"/>
              <w:rPr>
                <w:rFonts w:ascii="Palatino Linotype" w:hAnsi="Palatino Linotype" w:eastAsia="宋体" w:cs="Palatino Linotype"/>
                <w:color w:val="000000"/>
                <w:sz w:val="16"/>
                <w:szCs w:val="16"/>
              </w:rPr>
            </w:pPr>
          </w:p>
        </w:tc>
        <w:tc>
          <w:tcPr>
            <w:tcW w:w="1961" w:type="dxa"/>
            <w:tcBorders>
              <w:top w:val="nil"/>
              <w:left w:val="nil"/>
              <w:bottom w:val="nil"/>
              <w:right w:val="nil"/>
            </w:tcBorders>
            <w:noWrap/>
            <w:vAlign w:val="center"/>
          </w:tcPr>
          <w:p w14:paraId="4F4022C0">
            <w:pPr>
              <w:widowControl/>
              <w:jc w:val="left"/>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Income per capita(X17)</w:t>
            </w:r>
          </w:p>
        </w:tc>
        <w:tc>
          <w:tcPr>
            <w:tcW w:w="3161" w:type="dxa"/>
            <w:tcBorders>
              <w:top w:val="nil"/>
              <w:left w:val="nil"/>
              <w:bottom w:val="nil"/>
              <w:right w:val="nil"/>
            </w:tcBorders>
            <w:noWrap/>
            <w:vAlign w:val="center"/>
          </w:tcPr>
          <w:p w14:paraId="6A82117D">
            <w:pPr>
              <w:widowControl/>
              <w:jc w:val="left"/>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Annual per capita disposable income of residents (10,000 CNY)</w:t>
            </w:r>
          </w:p>
        </w:tc>
        <w:tc>
          <w:tcPr>
            <w:tcW w:w="1024" w:type="dxa"/>
            <w:tcBorders>
              <w:top w:val="nil"/>
              <w:left w:val="nil"/>
              <w:bottom w:val="nil"/>
              <w:right w:val="nil"/>
            </w:tcBorders>
            <w:noWrap/>
            <w:vAlign w:val="center"/>
          </w:tcPr>
          <w:p w14:paraId="1AE5DE46">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SSYB 2023</w:t>
            </w:r>
          </w:p>
        </w:tc>
        <w:tc>
          <w:tcPr>
            <w:tcW w:w="630" w:type="dxa"/>
            <w:tcBorders>
              <w:top w:val="nil"/>
              <w:left w:val="nil"/>
              <w:bottom w:val="nil"/>
              <w:right w:val="nil"/>
            </w:tcBorders>
            <w:noWrap/>
            <w:vAlign w:val="center"/>
          </w:tcPr>
          <w:p w14:paraId="7F8CF28D">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w:t>
            </w:r>
          </w:p>
        </w:tc>
        <w:tc>
          <w:tcPr>
            <w:tcW w:w="760" w:type="dxa"/>
            <w:tcBorders>
              <w:top w:val="nil"/>
              <w:left w:val="nil"/>
              <w:bottom w:val="nil"/>
              <w:right w:val="nil"/>
            </w:tcBorders>
            <w:noWrap/>
            <w:vAlign w:val="center"/>
          </w:tcPr>
          <w:p w14:paraId="5D42043B">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 xml:space="preserve">0.052 </w:t>
            </w:r>
          </w:p>
        </w:tc>
      </w:tr>
      <w:tr w14:paraId="71E4DD6D">
        <w:tblPrEx>
          <w:tblCellMar>
            <w:top w:w="0" w:type="dxa"/>
            <w:left w:w="108" w:type="dxa"/>
            <w:bottom w:w="0" w:type="dxa"/>
            <w:right w:w="108" w:type="dxa"/>
          </w:tblCellMar>
        </w:tblPrEx>
        <w:trPr>
          <w:trHeight w:val="472" w:hRule="atLeast"/>
        </w:trPr>
        <w:tc>
          <w:tcPr>
            <w:tcW w:w="955" w:type="dxa"/>
            <w:vMerge w:val="continue"/>
            <w:tcBorders>
              <w:top w:val="nil"/>
              <w:left w:val="nil"/>
              <w:bottom w:val="single" w:color="000000" w:sz="8" w:space="0"/>
              <w:right w:val="nil"/>
            </w:tcBorders>
            <w:vAlign w:val="center"/>
          </w:tcPr>
          <w:p w14:paraId="1E0D28D3">
            <w:pPr>
              <w:jc w:val="center"/>
              <w:rPr>
                <w:rFonts w:ascii="Palatino Linotype" w:hAnsi="Palatino Linotype" w:eastAsia="宋体" w:cs="Palatino Linotype"/>
                <w:color w:val="000000"/>
                <w:sz w:val="16"/>
                <w:szCs w:val="16"/>
              </w:rPr>
            </w:pPr>
          </w:p>
        </w:tc>
        <w:tc>
          <w:tcPr>
            <w:tcW w:w="1016" w:type="dxa"/>
            <w:vMerge w:val="continue"/>
            <w:tcBorders>
              <w:top w:val="nil"/>
              <w:left w:val="nil"/>
              <w:bottom w:val="single" w:color="000000" w:sz="8" w:space="0"/>
              <w:right w:val="nil"/>
            </w:tcBorders>
            <w:noWrap/>
            <w:vAlign w:val="center"/>
          </w:tcPr>
          <w:p w14:paraId="79E3F327">
            <w:pPr>
              <w:jc w:val="center"/>
              <w:rPr>
                <w:rFonts w:ascii="Palatino Linotype" w:hAnsi="Palatino Linotype" w:eastAsia="宋体" w:cs="Palatino Linotype"/>
                <w:color w:val="000000"/>
                <w:sz w:val="16"/>
                <w:szCs w:val="16"/>
              </w:rPr>
            </w:pPr>
          </w:p>
        </w:tc>
        <w:tc>
          <w:tcPr>
            <w:tcW w:w="1029" w:type="dxa"/>
            <w:vMerge w:val="continue"/>
            <w:tcBorders>
              <w:top w:val="nil"/>
              <w:left w:val="nil"/>
              <w:bottom w:val="single" w:color="000000" w:sz="4" w:space="0"/>
              <w:right w:val="nil"/>
            </w:tcBorders>
            <w:noWrap/>
            <w:vAlign w:val="center"/>
          </w:tcPr>
          <w:p w14:paraId="38F40A77">
            <w:pPr>
              <w:jc w:val="center"/>
              <w:rPr>
                <w:rFonts w:ascii="Palatino Linotype" w:hAnsi="Palatino Linotype" w:eastAsia="宋体" w:cs="Palatino Linotype"/>
                <w:color w:val="000000"/>
                <w:sz w:val="16"/>
                <w:szCs w:val="16"/>
              </w:rPr>
            </w:pPr>
          </w:p>
        </w:tc>
        <w:tc>
          <w:tcPr>
            <w:tcW w:w="1961" w:type="dxa"/>
            <w:tcBorders>
              <w:top w:val="nil"/>
              <w:left w:val="nil"/>
              <w:bottom w:val="nil"/>
              <w:right w:val="nil"/>
            </w:tcBorders>
            <w:noWrap/>
            <w:vAlign w:val="center"/>
          </w:tcPr>
          <w:p w14:paraId="05425545">
            <w:pPr>
              <w:widowControl/>
              <w:jc w:val="left"/>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Health expenditure as percentage of GDP(X18)</w:t>
            </w:r>
          </w:p>
        </w:tc>
        <w:tc>
          <w:tcPr>
            <w:tcW w:w="3161" w:type="dxa"/>
            <w:tcBorders>
              <w:top w:val="nil"/>
              <w:left w:val="nil"/>
              <w:bottom w:val="nil"/>
              <w:right w:val="nil"/>
            </w:tcBorders>
            <w:noWrap/>
            <w:vAlign w:val="center"/>
          </w:tcPr>
          <w:p w14:paraId="5CCDE9F8">
            <w:pPr>
              <w:widowControl/>
              <w:jc w:val="left"/>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Government health expenditure as percentage of GDP (%)</w:t>
            </w:r>
          </w:p>
        </w:tc>
        <w:tc>
          <w:tcPr>
            <w:tcW w:w="1024" w:type="dxa"/>
            <w:tcBorders>
              <w:top w:val="nil"/>
              <w:left w:val="nil"/>
              <w:bottom w:val="nil"/>
              <w:right w:val="nil"/>
            </w:tcBorders>
            <w:noWrap/>
            <w:vAlign w:val="center"/>
          </w:tcPr>
          <w:p w14:paraId="6295A7E2">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SHSYB 2023</w:t>
            </w:r>
          </w:p>
        </w:tc>
        <w:tc>
          <w:tcPr>
            <w:tcW w:w="630" w:type="dxa"/>
            <w:tcBorders>
              <w:top w:val="nil"/>
              <w:left w:val="nil"/>
              <w:bottom w:val="nil"/>
              <w:right w:val="nil"/>
            </w:tcBorders>
            <w:noWrap/>
            <w:vAlign w:val="center"/>
          </w:tcPr>
          <w:p w14:paraId="22566C4F">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w:t>
            </w:r>
          </w:p>
        </w:tc>
        <w:tc>
          <w:tcPr>
            <w:tcW w:w="760" w:type="dxa"/>
            <w:tcBorders>
              <w:top w:val="nil"/>
              <w:left w:val="nil"/>
              <w:bottom w:val="nil"/>
              <w:right w:val="nil"/>
            </w:tcBorders>
            <w:noWrap/>
            <w:vAlign w:val="center"/>
          </w:tcPr>
          <w:p w14:paraId="6885D90E">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 xml:space="preserve">0.046 </w:t>
            </w:r>
          </w:p>
        </w:tc>
      </w:tr>
      <w:tr w14:paraId="45960892">
        <w:tblPrEx>
          <w:tblCellMar>
            <w:top w:w="0" w:type="dxa"/>
            <w:left w:w="108" w:type="dxa"/>
            <w:bottom w:w="0" w:type="dxa"/>
            <w:right w:w="108" w:type="dxa"/>
          </w:tblCellMar>
        </w:tblPrEx>
        <w:trPr>
          <w:trHeight w:val="700" w:hRule="atLeast"/>
        </w:trPr>
        <w:tc>
          <w:tcPr>
            <w:tcW w:w="955" w:type="dxa"/>
            <w:vMerge w:val="continue"/>
            <w:tcBorders>
              <w:top w:val="nil"/>
              <w:left w:val="nil"/>
              <w:bottom w:val="single" w:color="000000" w:sz="8" w:space="0"/>
              <w:right w:val="nil"/>
            </w:tcBorders>
            <w:vAlign w:val="center"/>
          </w:tcPr>
          <w:p w14:paraId="740F9BA6">
            <w:pPr>
              <w:jc w:val="center"/>
              <w:rPr>
                <w:rFonts w:ascii="Palatino Linotype" w:hAnsi="Palatino Linotype" w:eastAsia="宋体" w:cs="Palatino Linotype"/>
                <w:color w:val="000000"/>
                <w:sz w:val="16"/>
                <w:szCs w:val="16"/>
              </w:rPr>
            </w:pPr>
          </w:p>
        </w:tc>
        <w:tc>
          <w:tcPr>
            <w:tcW w:w="1016" w:type="dxa"/>
            <w:vMerge w:val="continue"/>
            <w:tcBorders>
              <w:top w:val="nil"/>
              <w:left w:val="nil"/>
              <w:bottom w:val="single" w:color="000000" w:sz="8" w:space="0"/>
              <w:right w:val="nil"/>
            </w:tcBorders>
            <w:noWrap/>
            <w:vAlign w:val="center"/>
          </w:tcPr>
          <w:p w14:paraId="15D335A7">
            <w:pPr>
              <w:jc w:val="center"/>
              <w:rPr>
                <w:rFonts w:ascii="Palatino Linotype" w:hAnsi="Palatino Linotype" w:eastAsia="宋体" w:cs="Palatino Linotype"/>
                <w:color w:val="000000"/>
                <w:sz w:val="16"/>
                <w:szCs w:val="16"/>
              </w:rPr>
            </w:pPr>
          </w:p>
        </w:tc>
        <w:tc>
          <w:tcPr>
            <w:tcW w:w="1029" w:type="dxa"/>
            <w:vMerge w:val="continue"/>
            <w:tcBorders>
              <w:top w:val="nil"/>
              <w:left w:val="nil"/>
              <w:bottom w:val="single" w:color="000000" w:sz="4" w:space="0"/>
              <w:right w:val="nil"/>
            </w:tcBorders>
            <w:noWrap/>
            <w:vAlign w:val="center"/>
          </w:tcPr>
          <w:p w14:paraId="62BE155E">
            <w:pPr>
              <w:jc w:val="center"/>
              <w:rPr>
                <w:rFonts w:ascii="Palatino Linotype" w:hAnsi="Palatino Linotype" w:eastAsia="宋体" w:cs="Palatino Linotype"/>
                <w:color w:val="000000"/>
                <w:sz w:val="16"/>
                <w:szCs w:val="16"/>
              </w:rPr>
            </w:pPr>
          </w:p>
        </w:tc>
        <w:tc>
          <w:tcPr>
            <w:tcW w:w="1961" w:type="dxa"/>
            <w:tcBorders>
              <w:top w:val="nil"/>
              <w:left w:val="nil"/>
              <w:bottom w:val="nil"/>
              <w:right w:val="nil"/>
            </w:tcBorders>
            <w:vAlign w:val="center"/>
          </w:tcPr>
          <w:p w14:paraId="31469EDA">
            <w:pPr>
              <w:widowControl/>
              <w:jc w:val="left"/>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 xml:space="preserve">Annual per capita household savings deposit </w:t>
            </w:r>
            <w:r>
              <w:rPr>
                <w:rFonts w:ascii="Palatino Linotype" w:hAnsi="Palatino Linotype" w:eastAsia="宋体" w:cs="Palatino Linotype"/>
                <w:color w:val="000000"/>
                <w:kern w:val="0"/>
                <w:sz w:val="16"/>
                <w:szCs w:val="16"/>
                <w:lang w:bidi="ar"/>
              </w:rPr>
              <w:br w:type="textWrapping"/>
            </w:r>
            <w:r>
              <w:rPr>
                <w:rFonts w:ascii="Palatino Linotype" w:hAnsi="Palatino Linotype" w:eastAsia="宋体" w:cs="Palatino Linotype"/>
                <w:color w:val="000000"/>
                <w:kern w:val="0"/>
                <w:sz w:val="16"/>
                <w:szCs w:val="16"/>
                <w:lang w:bidi="ar"/>
              </w:rPr>
              <w:t>balance(X19)</w:t>
            </w:r>
          </w:p>
        </w:tc>
        <w:tc>
          <w:tcPr>
            <w:tcW w:w="3161" w:type="dxa"/>
            <w:tcBorders>
              <w:top w:val="nil"/>
              <w:left w:val="nil"/>
              <w:bottom w:val="nil"/>
              <w:right w:val="nil"/>
            </w:tcBorders>
            <w:noWrap/>
            <w:vAlign w:val="center"/>
          </w:tcPr>
          <w:p w14:paraId="7D48D3A7">
            <w:pPr>
              <w:widowControl/>
              <w:jc w:val="left"/>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Per capita savings deposits of urban/rural residents (10,000 CNY)</w:t>
            </w:r>
          </w:p>
        </w:tc>
        <w:tc>
          <w:tcPr>
            <w:tcW w:w="1024" w:type="dxa"/>
            <w:tcBorders>
              <w:top w:val="nil"/>
              <w:left w:val="nil"/>
              <w:bottom w:val="nil"/>
              <w:right w:val="nil"/>
            </w:tcBorders>
            <w:noWrap/>
            <w:vAlign w:val="center"/>
          </w:tcPr>
          <w:p w14:paraId="6DECB24A">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SSYB 2023</w:t>
            </w:r>
          </w:p>
        </w:tc>
        <w:tc>
          <w:tcPr>
            <w:tcW w:w="630" w:type="dxa"/>
            <w:tcBorders>
              <w:top w:val="nil"/>
              <w:left w:val="nil"/>
              <w:bottom w:val="nil"/>
              <w:right w:val="nil"/>
            </w:tcBorders>
            <w:noWrap/>
            <w:vAlign w:val="center"/>
          </w:tcPr>
          <w:p w14:paraId="2C80AE34">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w:t>
            </w:r>
          </w:p>
        </w:tc>
        <w:tc>
          <w:tcPr>
            <w:tcW w:w="760" w:type="dxa"/>
            <w:tcBorders>
              <w:top w:val="nil"/>
              <w:left w:val="nil"/>
              <w:bottom w:val="nil"/>
              <w:right w:val="nil"/>
            </w:tcBorders>
            <w:noWrap/>
            <w:vAlign w:val="center"/>
          </w:tcPr>
          <w:p w14:paraId="5FA7DB54">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 xml:space="preserve">0.049 </w:t>
            </w:r>
          </w:p>
        </w:tc>
      </w:tr>
      <w:tr w14:paraId="7B248D7D">
        <w:tblPrEx>
          <w:tblCellMar>
            <w:top w:w="0" w:type="dxa"/>
            <w:left w:w="108" w:type="dxa"/>
            <w:bottom w:w="0" w:type="dxa"/>
            <w:right w:w="108" w:type="dxa"/>
          </w:tblCellMar>
        </w:tblPrEx>
        <w:trPr>
          <w:trHeight w:val="700" w:hRule="atLeast"/>
        </w:trPr>
        <w:tc>
          <w:tcPr>
            <w:tcW w:w="955" w:type="dxa"/>
            <w:vMerge w:val="continue"/>
            <w:tcBorders>
              <w:top w:val="nil"/>
              <w:left w:val="nil"/>
              <w:bottom w:val="single" w:color="000000" w:sz="8" w:space="0"/>
              <w:right w:val="nil"/>
            </w:tcBorders>
            <w:vAlign w:val="center"/>
          </w:tcPr>
          <w:p w14:paraId="27D3A7D3">
            <w:pPr>
              <w:jc w:val="center"/>
              <w:rPr>
                <w:rFonts w:ascii="Palatino Linotype" w:hAnsi="Palatino Linotype" w:eastAsia="宋体" w:cs="Palatino Linotype"/>
                <w:color w:val="000000"/>
                <w:sz w:val="16"/>
                <w:szCs w:val="16"/>
              </w:rPr>
            </w:pPr>
          </w:p>
        </w:tc>
        <w:tc>
          <w:tcPr>
            <w:tcW w:w="1016" w:type="dxa"/>
            <w:vMerge w:val="continue"/>
            <w:tcBorders>
              <w:top w:val="nil"/>
              <w:left w:val="nil"/>
              <w:bottom w:val="single" w:color="000000" w:sz="8" w:space="0"/>
              <w:right w:val="nil"/>
            </w:tcBorders>
            <w:noWrap/>
            <w:vAlign w:val="center"/>
          </w:tcPr>
          <w:p w14:paraId="7DDA1ADF">
            <w:pPr>
              <w:jc w:val="center"/>
              <w:rPr>
                <w:rFonts w:ascii="Palatino Linotype" w:hAnsi="Palatino Linotype" w:eastAsia="宋体" w:cs="Palatino Linotype"/>
                <w:color w:val="000000"/>
                <w:sz w:val="16"/>
                <w:szCs w:val="16"/>
              </w:rPr>
            </w:pPr>
          </w:p>
        </w:tc>
        <w:tc>
          <w:tcPr>
            <w:tcW w:w="1029" w:type="dxa"/>
            <w:vMerge w:val="continue"/>
            <w:tcBorders>
              <w:top w:val="nil"/>
              <w:left w:val="nil"/>
              <w:bottom w:val="single" w:color="000000" w:sz="4" w:space="0"/>
              <w:right w:val="nil"/>
            </w:tcBorders>
            <w:noWrap/>
            <w:vAlign w:val="center"/>
          </w:tcPr>
          <w:p w14:paraId="3345D952">
            <w:pPr>
              <w:jc w:val="center"/>
              <w:rPr>
                <w:rFonts w:ascii="Palatino Linotype" w:hAnsi="Palatino Linotype" w:eastAsia="宋体" w:cs="Palatino Linotype"/>
                <w:color w:val="000000"/>
                <w:sz w:val="16"/>
                <w:szCs w:val="16"/>
              </w:rPr>
            </w:pPr>
          </w:p>
        </w:tc>
        <w:tc>
          <w:tcPr>
            <w:tcW w:w="1961" w:type="dxa"/>
            <w:tcBorders>
              <w:top w:val="nil"/>
              <w:left w:val="nil"/>
              <w:bottom w:val="single" w:color="000000" w:sz="4" w:space="0"/>
              <w:right w:val="nil"/>
            </w:tcBorders>
            <w:vAlign w:val="center"/>
          </w:tcPr>
          <w:p w14:paraId="19AEDF74">
            <w:pPr>
              <w:widowControl/>
              <w:jc w:val="left"/>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 xml:space="preserve">Emergency supplies reserve expenditure as a </w:t>
            </w:r>
            <w:r>
              <w:rPr>
                <w:rFonts w:ascii="Palatino Linotype" w:hAnsi="Palatino Linotype" w:eastAsia="宋体" w:cs="Palatino Linotype"/>
                <w:color w:val="000000"/>
                <w:kern w:val="0"/>
                <w:sz w:val="16"/>
                <w:szCs w:val="16"/>
                <w:lang w:bidi="ar"/>
              </w:rPr>
              <w:br w:type="textWrapping"/>
            </w:r>
            <w:r>
              <w:rPr>
                <w:rFonts w:ascii="Palatino Linotype" w:hAnsi="Palatino Linotype" w:eastAsia="宋体" w:cs="Palatino Linotype"/>
                <w:color w:val="000000"/>
                <w:kern w:val="0"/>
                <w:sz w:val="16"/>
                <w:szCs w:val="16"/>
                <w:lang w:bidi="ar"/>
              </w:rPr>
              <w:t>percentage of GDP(X20)</w:t>
            </w:r>
          </w:p>
        </w:tc>
        <w:tc>
          <w:tcPr>
            <w:tcW w:w="3161" w:type="dxa"/>
            <w:tcBorders>
              <w:top w:val="nil"/>
              <w:left w:val="nil"/>
              <w:bottom w:val="single" w:color="000000" w:sz="4" w:space="0"/>
              <w:right w:val="nil"/>
            </w:tcBorders>
            <w:noWrap/>
            <w:vAlign w:val="center"/>
          </w:tcPr>
          <w:p w14:paraId="64BF359D">
            <w:pPr>
              <w:widowControl/>
              <w:jc w:val="left"/>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Government emergency reserves expenditure as percentage of GDP (%)</w:t>
            </w:r>
          </w:p>
        </w:tc>
        <w:tc>
          <w:tcPr>
            <w:tcW w:w="1024" w:type="dxa"/>
            <w:tcBorders>
              <w:top w:val="nil"/>
              <w:left w:val="nil"/>
              <w:bottom w:val="single" w:color="000000" w:sz="4" w:space="0"/>
              <w:right w:val="nil"/>
            </w:tcBorders>
            <w:noWrap/>
            <w:vAlign w:val="center"/>
          </w:tcPr>
          <w:p w14:paraId="1678A506">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SSYB 2023</w:t>
            </w:r>
          </w:p>
        </w:tc>
        <w:tc>
          <w:tcPr>
            <w:tcW w:w="630" w:type="dxa"/>
            <w:tcBorders>
              <w:top w:val="nil"/>
              <w:left w:val="nil"/>
              <w:bottom w:val="single" w:color="000000" w:sz="4" w:space="0"/>
              <w:right w:val="nil"/>
            </w:tcBorders>
            <w:noWrap/>
            <w:vAlign w:val="center"/>
          </w:tcPr>
          <w:p w14:paraId="2D5F9A9E">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w:t>
            </w:r>
          </w:p>
        </w:tc>
        <w:tc>
          <w:tcPr>
            <w:tcW w:w="760" w:type="dxa"/>
            <w:tcBorders>
              <w:top w:val="nil"/>
              <w:left w:val="nil"/>
              <w:bottom w:val="single" w:color="000000" w:sz="4" w:space="0"/>
              <w:right w:val="nil"/>
            </w:tcBorders>
            <w:noWrap/>
            <w:vAlign w:val="center"/>
          </w:tcPr>
          <w:p w14:paraId="47BB6528">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 xml:space="preserve">0.047 </w:t>
            </w:r>
          </w:p>
        </w:tc>
      </w:tr>
      <w:tr w14:paraId="1BC1CB48">
        <w:tblPrEx>
          <w:tblCellMar>
            <w:top w:w="0" w:type="dxa"/>
            <w:left w:w="108" w:type="dxa"/>
            <w:bottom w:w="0" w:type="dxa"/>
            <w:right w:w="108" w:type="dxa"/>
          </w:tblCellMar>
        </w:tblPrEx>
        <w:trPr>
          <w:trHeight w:val="243" w:hRule="atLeast"/>
        </w:trPr>
        <w:tc>
          <w:tcPr>
            <w:tcW w:w="955" w:type="dxa"/>
            <w:vMerge w:val="continue"/>
            <w:tcBorders>
              <w:top w:val="nil"/>
              <w:left w:val="nil"/>
              <w:bottom w:val="single" w:color="000000" w:sz="8" w:space="0"/>
              <w:right w:val="nil"/>
            </w:tcBorders>
            <w:vAlign w:val="center"/>
          </w:tcPr>
          <w:p w14:paraId="4454EC12">
            <w:pPr>
              <w:jc w:val="center"/>
              <w:rPr>
                <w:rFonts w:ascii="Palatino Linotype" w:hAnsi="Palatino Linotype" w:eastAsia="宋体" w:cs="Palatino Linotype"/>
                <w:color w:val="000000"/>
                <w:sz w:val="16"/>
                <w:szCs w:val="16"/>
              </w:rPr>
            </w:pPr>
          </w:p>
        </w:tc>
        <w:tc>
          <w:tcPr>
            <w:tcW w:w="1016" w:type="dxa"/>
            <w:vMerge w:val="continue"/>
            <w:tcBorders>
              <w:top w:val="nil"/>
              <w:left w:val="nil"/>
              <w:bottom w:val="single" w:color="000000" w:sz="8" w:space="0"/>
              <w:right w:val="nil"/>
            </w:tcBorders>
            <w:noWrap/>
            <w:vAlign w:val="center"/>
          </w:tcPr>
          <w:p w14:paraId="08F14B87">
            <w:pPr>
              <w:jc w:val="center"/>
              <w:rPr>
                <w:rFonts w:ascii="Palatino Linotype" w:hAnsi="Palatino Linotype" w:eastAsia="宋体" w:cs="Palatino Linotype"/>
                <w:color w:val="000000"/>
                <w:sz w:val="16"/>
                <w:szCs w:val="16"/>
              </w:rPr>
            </w:pPr>
          </w:p>
        </w:tc>
        <w:tc>
          <w:tcPr>
            <w:tcW w:w="1029" w:type="dxa"/>
            <w:vMerge w:val="restart"/>
            <w:tcBorders>
              <w:top w:val="nil"/>
              <w:left w:val="nil"/>
              <w:bottom w:val="single" w:color="000000" w:sz="8" w:space="0"/>
              <w:right w:val="nil"/>
            </w:tcBorders>
            <w:noWrap/>
            <w:vAlign w:val="center"/>
          </w:tcPr>
          <w:p w14:paraId="2BEB3D7B">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Social Vulnerability</w:t>
            </w:r>
          </w:p>
        </w:tc>
        <w:tc>
          <w:tcPr>
            <w:tcW w:w="1961" w:type="dxa"/>
            <w:tcBorders>
              <w:top w:val="nil"/>
              <w:left w:val="nil"/>
              <w:bottom w:val="nil"/>
              <w:right w:val="nil"/>
            </w:tcBorders>
            <w:noWrap/>
            <w:vAlign w:val="center"/>
          </w:tcPr>
          <w:p w14:paraId="7AA25D70">
            <w:pPr>
              <w:widowControl/>
              <w:jc w:val="left"/>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Physicians per 10,000 people(X21)</w:t>
            </w:r>
          </w:p>
        </w:tc>
        <w:tc>
          <w:tcPr>
            <w:tcW w:w="3161" w:type="dxa"/>
            <w:tcBorders>
              <w:top w:val="nil"/>
              <w:left w:val="nil"/>
              <w:bottom w:val="nil"/>
              <w:right w:val="nil"/>
            </w:tcBorders>
            <w:noWrap/>
            <w:vAlign w:val="center"/>
          </w:tcPr>
          <w:p w14:paraId="41E79603">
            <w:pPr>
              <w:widowControl/>
              <w:jc w:val="left"/>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Licensed (assistant) physicians per 10,000 permanent residents</w:t>
            </w:r>
          </w:p>
        </w:tc>
        <w:tc>
          <w:tcPr>
            <w:tcW w:w="1024" w:type="dxa"/>
            <w:tcBorders>
              <w:top w:val="nil"/>
              <w:left w:val="nil"/>
              <w:bottom w:val="nil"/>
              <w:right w:val="nil"/>
            </w:tcBorders>
            <w:noWrap/>
            <w:vAlign w:val="center"/>
          </w:tcPr>
          <w:p w14:paraId="6C72C289">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SHSYB 2023</w:t>
            </w:r>
          </w:p>
        </w:tc>
        <w:tc>
          <w:tcPr>
            <w:tcW w:w="630" w:type="dxa"/>
            <w:tcBorders>
              <w:top w:val="nil"/>
              <w:left w:val="nil"/>
              <w:bottom w:val="nil"/>
              <w:right w:val="nil"/>
            </w:tcBorders>
            <w:noWrap/>
            <w:vAlign w:val="center"/>
          </w:tcPr>
          <w:p w14:paraId="099DEC9F">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w:t>
            </w:r>
          </w:p>
        </w:tc>
        <w:tc>
          <w:tcPr>
            <w:tcW w:w="760" w:type="dxa"/>
            <w:tcBorders>
              <w:top w:val="nil"/>
              <w:left w:val="nil"/>
              <w:bottom w:val="nil"/>
              <w:right w:val="nil"/>
            </w:tcBorders>
            <w:noWrap/>
            <w:vAlign w:val="center"/>
          </w:tcPr>
          <w:p w14:paraId="0A8B4424">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 xml:space="preserve">0.090 </w:t>
            </w:r>
          </w:p>
        </w:tc>
      </w:tr>
      <w:tr w14:paraId="41814235">
        <w:tblPrEx>
          <w:tblCellMar>
            <w:top w:w="0" w:type="dxa"/>
            <w:left w:w="108" w:type="dxa"/>
            <w:bottom w:w="0" w:type="dxa"/>
            <w:right w:w="108" w:type="dxa"/>
          </w:tblCellMar>
        </w:tblPrEx>
        <w:trPr>
          <w:trHeight w:val="472" w:hRule="atLeast"/>
        </w:trPr>
        <w:tc>
          <w:tcPr>
            <w:tcW w:w="955" w:type="dxa"/>
            <w:vMerge w:val="continue"/>
            <w:tcBorders>
              <w:top w:val="nil"/>
              <w:left w:val="nil"/>
              <w:bottom w:val="single" w:color="000000" w:sz="8" w:space="0"/>
              <w:right w:val="nil"/>
            </w:tcBorders>
            <w:vAlign w:val="center"/>
          </w:tcPr>
          <w:p w14:paraId="74A05774">
            <w:pPr>
              <w:jc w:val="center"/>
              <w:rPr>
                <w:rFonts w:ascii="Palatino Linotype" w:hAnsi="Palatino Linotype" w:eastAsia="宋体" w:cs="Palatino Linotype"/>
                <w:color w:val="000000"/>
                <w:sz w:val="16"/>
                <w:szCs w:val="16"/>
              </w:rPr>
            </w:pPr>
          </w:p>
        </w:tc>
        <w:tc>
          <w:tcPr>
            <w:tcW w:w="1016" w:type="dxa"/>
            <w:vMerge w:val="continue"/>
            <w:tcBorders>
              <w:top w:val="nil"/>
              <w:left w:val="nil"/>
              <w:bottom w:val="single" w:color="000000" w:sz="8" w:space="0"/>
              <w:right w:val="nil"/>
            </w:tcBorders>
            <w:noWrap/>
            <w:vAlign w:val="center"/>
          </w:tcPr>
          <w:p w14:paraId="4647F63A">
            <w:pPr>
              <w:jc w:val="center"/>
              <w:rPr>
                <w:rFonts w:ascii="Palatino Linotype" w:hAnsi="Palatino Linotype" w:eastAsia="宋体" w:cs="Palatino Linotype"/>
                <w:color w:val="000000"/>
                <w:sz w:val="16"/>
                <w:szCs w:val="16"/>
              </w:rPr>
            </w:pPr>
          </w:p>
        </w:tc>
        <w:tc>
          <w:tcPr>
            <w:tcW w:w="1029" w:type="dxa"/>
            <w:vMerge w:val="continue"/>
            <w:tcBorders>
              <w:top w:val="nil"/>
              <w:left w:val="nil"/>
              <w:bottom w:val="single" w:color="000000" w:sz="8" w:space="0"/>
              <w:right w:val="nil"/>
            </w:tcBorders>
            <w:noWrap/>
            <w:vAlign w:val="center"/>
          </w:tcPr>
          <w:p w14:paraId="51BDD6ED">
            <w:pPr>
              <w:jc w:val="center"/>
              <w:rPr>
                <w:rFonts w:ascii="Palatino Linotype" w:hAnsi="Palatino Linotype" w:eastAsia="宋体" w:cs="Palatino Linotype"/>
                <w:color w:val="000000"/>
                <w:sz w:val="16"/>
                <w:szCs w:val="16"/>
              </w:rPr>
            </w:pPr>
          </w:p>
        </w:tc>
        <w:tc>
          <w:tcPr>
            <w:tcW w:w="1961" w:type="dxa"/>
            <w:tcBorders>
              <w:top w:val="nil"/>
              <w:left w:val="nil"/>
              <w:bottom w:val="nil"/>
              <w:right w:val="nil"/>
            </w:tcBorders>
            <w:noWrap/>
            <w:vAlign w:val="center"/>
          </w:tcPr>
          <w:p w14:paraId="7AEB235A">
            <w:pPr>
              <w:widowControl/>
              <w:jc w:val="left"/>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Hospital beds per 10,000 inhabitants(X22)</w:t>
            </w:r>
          </w:p>
        </w:tc>
        <w:tc>
          <w:tcPr>
            <w:tcW w:w="3161" w:type="dxa"/>
            <w:tcBorders>
              <w:top w:val="nil"/>
              <w:left w:val="nil"/>
              <w:bottom w:val="nil"/>
              <w:right w:val="nil"/>
            </w:tcBorders>
            <w:noWrap/>
            <w:vAlign w:val="center"/>
          </w:tcPr>
          <w:p w14:paraId="29B82B0F">
            <w:pPr>
              <w:widowControl/>
              <w:jc w:val="left"/>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Number of hospital beds per 10,000 permanent residents</w:t>
            </w:r>
          </w:p>
        </w:tc>
        <w:tc>
          <w:tcPr>
            <w:tcW w:w="1024" w:type="dxa"/>
            <w:tcBorders>
              <w:top w:val="nil"/>
              <w:left w:val="nil"/>
              <w:bottom w:val="nil"/>
              <w:right w:val="nil"/>
            </w:tcBorders>
            <w:noWrap/>
            <w:vAlign w:val="center"/>
          </w:tcPr>
          <w:p w14:paraId="19589F91">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SHSYB 2023</w:t>
            </w:r>
          </w:p>
        </w:tc>
        <w:tc>
          <w:tcPr>
            <w:tcW w:w="630" w:type="dxa"/>
            <w:tcBorders>
              <w:top w:val="nil"/>
              <w:left w:val="nil"/>
              <w:bottom w:val="nil"/>
              <w:right w:val="nil"/>
            </w:tcBorders>
            <w:noWrap/>
            <w:vAlign w:val="center"/>
          </w:tcPr>
          <w:p w14:paraId="77EE2B3B">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w:t>
            </w:r>
          </w:p>
        </w:tc>
        <w:tc>
          <w:tcPr>
            <w:tcW w:w="760" w:type="dxa"/>
            <w:tcBorders>
              <w:top w:val="nil"/>
              <w:left w:val="nil"/>
              <w:bottom w:val="nil"/>
              <w:right w:val="nil"/>
            </w:tcBorders>
            <w:noWrap/>
            <w:vAlign w:val="center"/>
          </w:tcPr>
          <w:p w14:paraId="06FD610F">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 xml:space="preserve">0.086 </w:t>
            </w:r>
          </w:p>
        </w:tc>
      </w:tr>
      <w:tr w14:paraId="52155766">
        <w:tblPrEx>
          <w:tblCellMar>
            <w:top w:w="0" w:type="dxa"/>
            <w:left w:w="108" w:type="dxa"/>
            <w:bottom w:w="0" w:type="dxa"/>
            <w:right w:w="108" w:type="dxa"/>
          </w:tblCellMar>
        </w:tblPrEx>
        <w:trPr>
          <w:trHeight w:val="486" w:hRule="atLeast"/>
        </w:trPr>
        <w:tc>
          <w:tcPr>
            <w:tcW w:w="955" w:type="dxa"/>
            <w:vMerge w:val="continue"/>
            <w:tcBorders>
              <w:top w:val="nil"/>
              <w:left w:val="nil"/>
              <w:bottom w:val="single" w:color="000000" w:sz="8" w:space="0"/>
              <w:right w:val="nil"/>
            </w:tcBorders>
            <w:vAlign w:val="center"/>
          </w:tcPr>
          <w:p w14:paraId="16D5C938">
            <w:pPr>
              <w:jc w:val="center"/>
              <w:rPr>
                <w:rFonts w:ascii="Palatino Linotype" w:hAnsi="Palatino Linotype" w:eastAsia="宋体" w:cs="Palatino Linotype"/>
                <w:color w:val="000000"/>
                <w:sz w:val="16"/>
                <w:szCs w:val="16"/>
              </w:rPr>
            </w:pPr>
          </w:p>
        </w:tc>
        <w:tc>
          <w:tcPr>
            <w:tcW w:w="1016" w:type="dxa"/>
            <w:vMerge w:val="continue"/>
            <w:tcBorders>
              <w:top w:val="nil"/>
              <w:left w:val="nil"/>
              <w:bottom w:val="single" w:color="000000" w:sz="8" w:space="0"/>
              <w:right w:val="nil"/>
            </w:tcBorders>
            <w:noWrap/>
            <w:vAlign w:val="center"/>
          </w:tcPr>
          <w:p w14:paraId="22951448">
            <w:pPr>
              <w:jc w:val="center"/>
              <w:rPr>
                <w:rFonts w:ascii="Palatino Linotype" w:hAnsi="Palatino Linotype" w:eastAsia="宋体" w:cs="Palatino Linotype"/>
                <w:color w:val="000000"/>
                <w:sz w:val="16"/>
                <w:szCs w:val="16"/>
              </w:rPr>
            </w:pPr>
          </w:p>
        </w:tc>
        <w:tc>
          <w:tcPr>
            <w:tcW w:w="1029" w:type="dxa"/>
            <w:vMerge w:val="continue"/>
            <w:tcBorders>
              <w:top w:val="nil"/>
              <w:left w:val="nil"/>
              <w:bottom w:val="single" w:color="000000" w:sz="8" w:space="0"/>
              <w:right w:val="nil"/>
            </w:tcBorders>
            <w:noWrap/>
            <w:vAlign w:val="center"/>
          </w:tcPr>
          <w:p w14:paraId="4C37C4B4">
            <w:pPr>
              <w:jc w:val="center"/>
              <w:rPr>
                <w:rFonts w:ascii="Palatino Linotype" w:hAnsi="Palatino Linotype" w:eastAsia="宋体" w:cs="Palatino Linotype"/>
                <w:color w:val="000000"/>
                <w:sz w:val="16"/>
                <w:szCs w:val="16"/>
              </w:rPr>
            </w:pPr>
          </w:p>
        </w:tc>
        <w:tc>
          <w:tcPr>
            <w:tcW w:w="1961" w:type="dxa"/>
            <w:tcBorders>
              <w:top w:val="nil"/>
              <w:left w:val="nil"/>
              <w:bottom w:val="single" w:color="000000" w:sz="8" w:space="0"/>
              <w:right w:val="nil"/>
            </w:tcBorders>
            <w:vAlign w:val="center"/>
          </w:tcPr>
          <w:p w14:paraId="12821039">
            <w:pPr>
              <w:widowControl/>
              <w:jc w:val="left"/>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 xml:space="preserve">Coverage rate of basic social security </w:t>
            </w:r>
            <w:r>
              <w:rPr>
                <w:rFonts w:ascii="Palatino Linotype" w:hAnsi="Palatino Linotype" w:eastAsia="宋体" w:cs="Palatino Linotype"/>
                <w:color w:val="000000"/>
                <w:kern w:val="0"/>
                <w:sz w:val="16"/>
                <w:szCs w:val="16"/>
                <w:lang w:bidi="ar"/>
              </w:rPr>
              <w:br w:type="textWrapping"/>
            </w:r>
            <w:r>
              <w:rPr>
                <w:rFonts w:ascii="Palatino Linotype" w:hAnsi="Palatino Linotype" w:eastAsia="宋体" w:cs="Palatino Linotype"/>
                <w:color w:val="000000"/>
                <w:kern w:val="0"/>
                <w:sz w:val="16"/>
                <w:szCs w:val="16"/>
                <w:lang w:bidi="ar"/>
              </w:rPr>
              <w:t>schemes(X23)</w:t>
            </w:r>
          </w:p>
        </w:tc>
        <w:tc>
          <w:tcPr>
            <w:tcW w:w="3161" w:type="dxa"/>
            <w:tcBorders>
              <w:top w:val="nil"/>
              <w:left w:val="nil"/>
              <w:bottom w:val="single" w:color="000000" w:sz="8" w:space="0"/>
              <w:right w:val="nil"/>
            </w:tcBorders>
            <w:noWrap/>
            <w:vAlign w:val="center"/>
          </w:tcPr>
          <w:p w14:paraId="22B52497">
            <w:pPr>
              <w:widowControl/>
              <w:jc w:val="left"/>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Coverage rate of basic pension insurance (%)</w:t>
            </w:r>
          </w:p>
        </w:tc>
        <w:tc>
          <w:tcPr>
            <w:tcW w:w="1024" w:type="dxa"/>
            <w:tcBorders>
              <w:top w:val="nil"/>
              <w:left w:val="nil"/>
              <w:bottom w:val="single" w:color="000000" w:sz="8" w:space="0"/>
              <w:right w:val="nil"/>
            </w:tcBorders>
            <w:noWrap/>
            <w:vAlign w:val="center"/>
          </w:tcPr>
          <w:p w14:paraId="1A496C15">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MHRB2023</w:t>
            </w:r>
          </w:p>
        </w:tc>
        <w:tc>
          <w:tcPr>
            <w:tcW w:w="630" w:type="dxa"/>
            <w:tcBorders>
              <w:top w:val="nil"/>
              <w:left w:val="nil"/>
              <w:bottom w:val="single" w:color="000000" w:sz="8" w:space="0"/>
              <w:right w:val="nil"/>
            </w:tcBorders>
            <w:noWrap/>
            <w:vAlign w:val="center"/>
          </w:tcPr>
          <w:p w14:paraId="0DC41016">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w:t>
            </w:r>
          </w:p>
        </w:tc>
        <w:tc>
          <w:tcPr>
            <w:tcW w:w="760" w:type="dxa"/>
            <w:tcBorders>
              <w:top w:val="nil"/>
              <w:left w:val="nil"/>
              <w:bottom w:val="single" w:color="000000" w:sz="8" w:space="0"/>
              <w:right w:val="nil"/>
            </w:tcBorders>
            <w:noWrap/>
            <w:vAlign w:val="center"/>
          </w:tcPr>
          <w:p w14:paraId="35A9E725">
            <w:pPr>
              <w:widowControl/>
              <w:jc w:val="center"/>
              <w:textAlignment w:val="center"/>
              <w:rPr>
                <w:rFonts w:ascii="Palatino Linotype" w:hAnsi="Palatino Linotype" w:eastAsia="宋体" w:cs="Palatino Linotype"/>
                <w:color w:val="000000"/>
                <w:sz w:val="16"/>
                <w:szCs w:val="16"/>
              </w:rPr>
            </w:pPr>
            <w:r>
              <w:rPr>
                <w:rFonts w:ascii="Palatino Linotype" w:hAnsi="Palatino Linotype" w:eastAsia="宋体" w:cs="Palatino Linotype"/>
                <w:color w:val="000000"/>
                <w:kern w:val="0"/>
                <w:sz w:val="16"/>
                <w:szCs w:val="16"/>
                <w:lang w:bidi="ar"/>
              </w:rPr>
              <w:t xml:space="preserve">0.068 </w:t>
            </w:r>
          </w:p>
        </w:tc>
      </w:tr>
    </w:tbl>
    <w:p w14:paraId="17C6BF8B">
      <w:pPr>
        <w:spacing w:line="360" w:lineRule="auto"/>
      </w:pPr>
    </w:p>
    <w:p w14:paraId="069A24D0">
      <w:pPr>
        <w:spacing w:line="360" w:lineRule="auto"/>
        <w:rPr>
          <w:rFonts w:hint="default" w:ascii="宋体" w:hAnsi="宋体" w:eastAsia="宋体" w:cs="宋体"/>
          <w:b/>
          <w:bCs/>
          <w:lang w:val="en-US"/>
        </w:rPr>
      </w:pPr>
      <w:r>
        <w:rPr>
          <w:rFonts w:hint="eastAsia" w:ascii="Times New Roman" w:hAnsi="Times New Roman" w:eastAsia="Segoe UI" w:cs="Times New Roman"/>
          <w:b/>
          <w:bCs/>
          <w:i w:val="0"/>
          <w:iCs w:val="0"/>
          <w:caps w:val="0"/>
          <w:color w:val="0F1115"/>
          <w:spacing w:val="0"/>
          <w:sz w:val="24"/>
          <w:szCs w:val="24"/>
          <w:shd w:val="clear" w:fill="FFFFFF"/>
          <w:lang w:val="en-US" w:eastAsia="zh-CN"/>
        </w:rPr>
        <w:t>Appendix 3: Confirmed Case.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Palatino Linotype">
    <w:panose1 w:val="02040502050505030304"/>
    <w:charset w:val="00"/>
    <w:family w:val="roman"/>
    <w:pitch w:val="default"/>
    <w:sig w:usb0="E0000287" w:usb1="40000013" w:usb2="00000000" w:usb3="00000000" w:csb0="2000019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43A64E"/>
    <w:multiLevelType w:val="singleLevel"/>
    <w:tmpl w:val="0643A64E"/>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7D169B"/>
    <w:rsid w:val="00093DE9"/>
    <w:rsid w:val="00281EAB"/>
    <w:rsid w:val="00375224"/>
    <w:rsid w:val="00405DC9"/>
    <w:rsid w:val="00557DD6"/>
    <w:rsid w:val="009D1FDE"/>
    <w:rsid w:val="06741AA6"/>
    <w:rsid w:val="0D801FA8"/>
    <w:rsid w:val="117D169B"/>
    <w:rsid w:val="12121331"/>
    <w:rsid w:val="121B7001"/>
    <w:rsid w:val="12430D4F"/>
    <w:rsid w:val="18BF3466"/>
    <w:rsid w:val="1F625134"/>
    <w:rsid w:val="289A3F9C"/>
    <w:rsid w:val="2C161986"/>
    <w:rsid w:val="2CAE775F"/>
    <w:rsid w:val="30695C89"/>
    <w:rsid w:val="32CE7CAD"/>
    <w:rsid w:val="368E5784"/>
    <w:rsid w:val="37146C3C"/>
    <w:rsid w:val="39292B04"/>
    <w:rsid w:val="3F757706"/>
    <w:rsid w:val="4A5C41B4"/>
    <w:rsid w:val="4DCF6620"/>
    <w:rsid w:val="4F31425D"/>
    <w:rsid w:val="55FA7A9F"/>
    <w:rsid w:val="561B4D30"/>
    <w:rsid w:val="57EF4CB5"/>
    <w:rsid w:val="5D4D621E"/>
    <w:rsid w:val="6297324D"/>
    <w:rsid w:val="64DE6C01"/>
    <w:rsid w:val="6C8E0AE9"/>
    <w:rsid w:val="6F7140CE"/>
    <w:rsid w:val="7014347B"/>
    <w:rsid w:val="75492A8B"/>
    <w:rsid w:val="759D7851"/>
    <w:rsid w:val="7C50046A"/>
    <w:rsid w:val="7E702E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3"/>
    <w:qFormat/>
    <w:uiPriority w:val="9"/>
    <w:pPr>
      <w:keepNext/>
      <w:keepLines/>
      <w:spacing w:before="360" w:after="80"/>
      <w:outlineLvl w:val="0"/>
    </w:pPr>
    <w:rPr>
      <w:rFonts w:asciiTheme="majorHAnsi" w:hAnsiTheme="majorHAnsi" w:eastAsiaTheme="majorEastAsia" w:cstheme="majorBidi"/>
      <w:color w:val="2E54A1" w:themeColor="accent1" w:themeShade="BF"/>
      <w:sz w:val="40"/>
      <w:szCs w:val="40"/>
    </w:rPr>
  </w:style>
  <w:style w:type="paragraph" w:styleId="4">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5">
    <w:name w:val="heading 3"/>
    <w:basedOn w:val="1"/>
    <w:next w:val="1"/>
    <w:unhideWhenUsed/>
    <w:qFormat/>
    <w:uiPriority w:val="0"/>
    <w:pPr>
      <w:keepNext/>
      <w:keepLines/>
      <w:spacing w:before="260" w:after="260" w:line="413" w:lineRule="auto"/>
      <w:outlineLvl w:val="2"/>
    </w:pPr>
    <w:rPr>
      <w:b/>
      <w:sz w:val="32"/>
    </w:rPr>
  </w:style>
  <w:style w:type="paragraph" w:styleId="6">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11">
    <w:name w:val="Default Paragraph Font"/>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7">
    <w:name w:val="footer"/>
    <w:basedOn w:val="1"/>
    <w:link w:val="18"/>
    <w:qFormat/>
    <w:uiPriority w:val="0"/>
    <w:pPr>
      <w:tabs>
        <w:tab w:val="center" w:pos="4153"/>
        <w:tab w:val="right" w:pos="8306"/>
      </w:tabs>
      <w:snapToGrid w:val="0"/>
      <w:jc w:val="left"/>
    </w:pPr>
    <w:rPr>
      <w:sz w:val="18"/>
      <w:szCs w:val="18"/>
    </w:rPr>
  </w:style>
  <w:style w:type="paragraph" w:styleId="8">
    <w:name w:val="header"/>
    <w:basedOn w:val="1"/>
    <w:link w:val="17"/>
    <w:qFormat/>
    <w:uiPriority w:val="0"/>
    <w:pPr>
      <w:tabs>
        <w:tab w:val="center" w:pos="4153"/>
        <w:tab w:val="right" w:pos="8306"/>
      </w:tabs>
      <w:snapToGrid w:val="0"/>
      <w:jc w:val="center"/>
    </w:pPr>
    <w:rPr>
      <w:sz w:val="18"/>
      <w:szCs w:val="18"/>
    </w:rPr>
  </w:style>
  <w:style w:type="paragraph" w:styleId="9">
    <w:name w:val="Normal (Web)"/>
    <w:basedOn w:val="1"/>
    <w:qFormat/>
    <w:uiPriority w:val="0"/>
    <w:rPr>
      <w:sz w:val="24"/>
    </w:rPr>
  </w:style>
  <w:style w:type="character" w:styleId="12">
    <w:name w:val="Strong"/>
    <w:basedOn w:val="11"/>
    <w:qFormat/>
    <w:uiPriority w:val="0"/>
    <w:rPr>
      <w:b/>
    </w:rPr>
  </w:style>
  <w:style w:type="character" w:customStyle="1" w:styleId="13">
    <w:name w:val="font01"/>
    <w:basedOn w:val="11"/>
    <w:qFormat/>
    <w:uiPriority w:val="0"/>
    <w:rPr>
      <w:rFonts w:hint="eastAsia" w:ascii="宋体" w:hAnsi="宋体" w:eastAsia="宋体" w:cs="宋体"/>
      <w:color w:val="000000"/>
      <w:sz w:val="22"/>
      <w:szCs w:val="22"/>
      <w:u w:val="none"/>
    </w:rPr>
  </w:style>
  <w:style w:type="character" w:customStyle="1" w:styleId="14">
    <w:name w:val="font31"/>
    <w:basedOn w:val="11"/>
    <w:qFormat/>
    <w:uiPriority w:val="0"/>
    <w:rPr>
      <w:rFonts w:hint="default" w:ascii="Times New Roman" w:hAnsi="Times New Roman" w:cs="Times New Roman"/>
      <w:color w:val="000000"/>
      <w:sz w:val="22"/>
      <w:szCs w:val="22"/>
      <w:u w:val="none"/>
    </w:rPr>
  </w:style>
  <w:style w:type="character" w:customStyle="1" w:styleId="15">
    <w:name w:val="font41"/>
    <w:basedOn w:val="11"/>
    <w:qFormat/>
    <w:uiPriority w:val="0"/>
    <w:rPr>
      <w:rFonts w:hint="eastAsia" w:ascii="宋体" w:hAnsi="宋体" w:eastAsia="宋体" w:cs="宋体"/>
      <w:color w:val="000000"/>
      <w:sz w:val="22"/>
      <w:szCs w:val="22"/>
      <w:u w:val="none"/>
    </w:rPr>
  </w:style>
  <w:style w:type="character" w:customStyle="1" w:styleId="16">
    <w:name w:val="font51"/>
    <w:basedOn w:val="11"/>
    <w:qFormat/>
    <w:uiPriority w:val="0"/>
    <w:rPr>
      <w:rFonts w:ascii="Calibri" w:hAnsi="Calibri" w:cs="Calibri"/>
      <w:color w:val="000000"/>
      <w:sz w:val="22"/>
      <w:szCs w:val="22"/>
      <w:u w:val="none"/>
    </w:rPr>
  </w:style>
  <w:style w:type="character" w:customStyle="1" w:styleId="17">
    <w:name w:val="页眉 字符"/>
    <w:basedOn w:val="11"/>
    <w:link w:val="8"/>
    <w:qFormat/>
    <w:uiPriority w:val="0"/>
    <w:rPr>
      <w:rFonts w:asciiTheme="minorHAnsi" w:hAnsiTheme="minorHAnsi" w:eastAsiaTheme="minorEastAsia" w:cstheme="minorBidi"/>
      <w:kern w:val="2"/>
      <w:sz w:val="18"/>
      <w:szCs w:val="18"/>
    </w:rPr>
  </w:style>
  <w:style w:type="character" w:customStyle="1" w:styleId="18">
    <w:name w:val="页脚 字符"/>
    <w:basedOn w:val="11"/>
    <w:link w:val="7"/>
    <w:qFormat/>
    <w:uiPriority w:val="0"/>
    <w:rPr>
      <w:rFonts w:asciiTheme="minorHAnsi" w:hAnsiTheme="minorHAnsi" w:eastAsiaTheme="minorEastAsia" w:cstheme="minorBidi"/>
      <w:kern w:val="2"/>
      <w:sz w:val="18"/>
      <w:szCs w:val="18"/>
    </w:rPr>
  </w:style>
  <w:style w:type="paragraph" w:customStyle="1" w:styleId="19">
    <w:name w:val="Bibliography"/>
    <w:basedOn w:val="1"/>
    <w:next w:val="1"/>
    <w:unhideWhenUsed/>
    <w:qFormat/>
    <w:uiPriority w:val="37"/>
    <w:pPr>
      <w:tabs>
        <w:tab w:val="left" w:pos="264"/>
      </w:tabs>
      <w:ind w:left="264" w:hanging="264"/>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919</Words>
  <Characters>5825</Characters>
  <Lines>1606</Lines>
  <Paragraphs>1171</Paragraphs>
  <TotalTime>44</TotalTime>
  <ScaleCrop>false</ScaleCrop>
  <LinksUpToDate>false</LinksUpToDate>
  <CharactersWithSpaces>6674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2025-11-19T10:11:00Z</dcterms:created>
  <dc:creator>Lydia</dc:creator>
  <cp:lastModifiedBy>Lixiaoping</cp:lastModifiedBy>
  <cp:lastPrinted>2025-12-03T01:52:00Z</cp:lastPrinted>
  <dcterms:modified xsi:type="dcterms:W3CDTF">2025-12-04T06:07:35Z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F7AC0FBF27CE49ED8DB6B387B0C58529_13</vt:lpwstr>
  </property>
  <property fmtid="{D5CDD505-2E9C-101B-9397-08002B2CF9AE}" pid="4" name="KSOTemplateDocerSaveRecord">
    <vt:lpwstr>eyJoZGlkIjoiOGVlNTI3OTk0NjFkY2IzMmNmZDg4ZjFjN2QzMmRlZTMiLCJ1c2VySWQiOiI1Njc2OTE1MzEifQ==</vt:lpwstr>
  </property>
  <property fmtid="{D5CDD505-2E9C-101B-9397-08002B2CF9AE}" pid="5" name="ZOTERO_PREF_1">
    <vt:lpwstr>&lt;data data-version="3" zotero-version="7.0.30"&gt;&lt;session id="k0rskckP"/&gt;&lt;style id="http://www.zotero.org/styles/american-chemical-society-frontiers-in-public-healthll-6" hasBibliography="1" bibliographyStyleHasBeenSet="1"/&gt;&lt;prefs&gt;&lt;pref name="fieldType" val</vt:lpwstr>
  </property>
  <property fmtid="{D5CDD505-2E9C-101B-9397-08002B2CF9AE}" pid="6" name="ZOTERO_PREF_2">
    <vt:lpwstr>ue="Field"/&gt;&lt;/prefs&gt;&lt;/data&gt;</vt:lpwstr>
  </property>
</Properties>
</file>