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Georgia" w:hAnsi="Georgia"/>
          <w:b/>
          <w:i w:val="0"/>
          <w:color w:val="5E2A28"/>
          <w:sz w:val="56"/>
        </w:rPr>
        <w:t>StressFreeClaim.ai</w:t>
      </w:r>
    </w:p>
    <w:p>
      <w:pPr>
        <w:spacing w:after="80"/>
      </w:pPr>
      <w:r>
        <w:rPr>
          <w:rFonts w:ascii="Georgia" w:hAnsi="Georgia"/>
          <w:b w:val="0"/>
          <w:i w:val="0"/>
          <w:color w:val="5E2A28"/>
          <w:sz w:val="36"/>
        </w:rPr>
        <w:t>Production Launch Plan</w:t>
      </w:r>
    </w:p>
    <w:p>
      <w:pPr>
        <w:spacing w:after="240"/>
      </w:pPr>
      <w:r>
        <w:rPr>
          <w:rFonts w:ascii="Aptos" w:hAnsi="Aptos"/>
          <w:b/>
          <w:i w:val="0"/>
          <w:color w:val="7C6B62"/>
          <w:sz w:val="19"/>
        </w:rPr>
        <w:t>Prepared for Deskar 6 LLC  •  Recommended scope for approval  •  July 28, 2026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5E2A2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7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BE7DC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E2320"/>
                <w:sz w:val="20"/>
              </w:rPr>
              <w:t>Launch a counsel-cleared private pilot with durable intake, authenticated staff access, and an operational claims queue. Keep contracts, fees, insurer filing, voice, and CRM out.</w:t>
            </w:r>
          </w:p>
        </w:tc>
      </w:tr>
    </w:tbl>
    <w:p>
      <w:pPr>
        <w:pStyle w:val="Heading1"/>
      </w:pPr>
      <w:r>
        <w:t>Executive decision</w:t>
      </w:r>
    </w:p>
    <w:p>
      <w:r>
        <w:t>Phase 1 is complete. The next release should be a narrow production-grade intake and operations product—not a broader automation platform. The fastest responsible route to market is a private pilot in counsel-cleared states.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Preserve the proven homeowner utterance → gaps → review experience.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Add durable storage, authenticated staff access, a claims queue, notifications, auditability, and production operations.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Exclude contracts, fee language, insurer filing, voice, CRM, and partner tools from launch.</w:t>
      </w:r>
    </w:p>
    <w:p>
      <w:pPr>
        <w:pStyle w:val="Heading1"/>
      </w:pPr>
      <w:r>
        <w:t>Why the original plan changes</w:t>
      </w:r>
    </w:p>
    <w:p>
      <w:r>
        <w:t>The original Phase 2 correctly called for persistent claims and an internal view, but its one-to-two-week estimate describes visible features rather than everything required to accept real homeowner data. Today, drafts contain personal information in a browser cookie, submitted claims use ephemeral SQLite storage, there is no authentication, and the repository constitution intentionally prohibits production data and security work.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766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B84E2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PROMOTION RULE</w:t>
            </w:r>
          </w:p>
        </w:tc>
        <w:tc>
          <w:tcPr>
            <w:tcW w:type="dxa" w:w="7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20"/>
              </w:rPr>
              <w:t>Carry the validated intake UX forward. Replace the prototype storage, identity, security, and operations substrate under a separate production track and acceptance gate.</w:t>
            </w:r>
          </w:p>
        </w:tc>
      </w:tr>
    </w:tbl>
    <w:p>
      <w:pPr>
        <w:pStyle w:val="Heading1"/>
      </w:pPr>
      <w:r>
        <w:t>Launch promise</w:t>
      </w:r>
    </w:p>
    <w:p>
      <w:pPr>
        <w:spacing w:before="80" w:after="160"/>
        <w:ind w:left="432" w:right="432"/>
      </w:pPr>
      <w:r>
        <w:rPr>
          <w:rFonts w:ascii="Georgia" w:hAnsi="Georgia"/>
          <w:b w:val="0"/>
          <w:i/>
          <w:color w:val="5E2A28"/>
          <w:sz w:val="24"/>
        </w:rPr>
        <w:t>“Tell us what happened. A member of our team will review your information and contact you about next steps.”</w:t>
      </w:r>
    </w:p>
    <w:p>
      <w:r>
        <w:t>Until counsel and operations approve otherwise, do not promise that a claim has been filed, that the company will represent the homeowner, that an affiliate will perform repairs, or that a fee will be waived.</w:t>
      </w:r>
    </w:p>
    <w:p>
      <w:pPr>
        <w:pStyle w:val="Heading1"/>
      </w:pPr>
      <w:r>
        <w:t>Launch scope</w:t>
      </w:r>
    </w:p>
    <w:p>
      <w:pPr>
        <w:pStyle w:val="Heading2"/>
      </w:pPr>
      <w:r>
        <w:t>Homeowner experience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Mobile-first guided intake with a server-side, expiring draft; the browser cookie carries only a random continuation token.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State eligibility against an administratively controlled allowlist.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Clear consent and privacy disclosure, full review and correction, and a truthful submission receipt.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Email confirmation plus calm recovery for expired drafts, duplicates, service failures, and unsupported states.</w:t>
      </w:r>
    </w:p>
    <w:p>
      <w:pPr>
        <w:pStyle w:val="Heading2"/>
      </w:pPr>
      <w:r>
        <w:t>Staff experience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Authenticated staff access with approved users, server-side roles, and MFA support.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Claims queue with status, state, claimant, date of loss, insurer, submitted time, assignment, search, and filters.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Claim detail, internal notes, assignment, and status workflow: new, reviewing, contacted, qualified, closed, duplicate.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Audit-recorded access, material changes, and authorized CSV exports.</w:t>
      </w:r>
    </w:p>
    <w:p>
      <w:pPr>
        <w:pStyle w:val="Heading2"/>
      </w:pPr>
      <w:r>
        <w:t>Platform and operations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Managed PostgreSQL, migrations, backups, and separate development, preview, and production environments.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Transactional email, structured logs, error monitoring, uptime checks, and personal-data redaction in telemetry.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Rate limiting, secure headers, request protections, server-side validation, retention/deletion procedures, and environment-managed secrets.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A named operator reviews the pilot queue every business day.</w:t>
      </w:r>
    </w:p>
    <w:p>
      <w:pPr>
        <w:pStyle w:val="Heading1"/>
      </w:pPr>
      <w:r>
        <w:t>Explicitly out of scope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Public-adjuster or construction contracts, e-signatures, and cancellation-window workflows.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Fee calculations, fee waivers, referral economics, or affiliate financial language.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Automated insurer calls or electronic claim filing; voice capture, transcription, or recording.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2E2320"/>
          <w:sz w:val="20"/>
        </w:rPr>
        <w:t>Payments, contractor portal, CRM sync, native apps, homeowner accounts, and multi-tenant organizations.</w:t>
      </w:r>
    </w:p>
    <w:p>
      <w:pPr>
        <w:pStyle w:val="Heading1"/>
      </w:pPr>
      <w:r>
        <w:t>Recommended delivery sequence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60"/>
        <w:gridCol w:w="2380"/>
        <w:gridCol w:w="2140"/>
        <w:gridCol w:w="4080"/>
      </w:tblGrid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5E2A2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2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5E2A2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Work</w:t>
            </w:r>
          </w:p>
        </w:tc>
        <w:tc>
          <w:tcPr>
            <w:tcW w:type="dxa" w:w="21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5E2A2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4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5E2A2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Exit signal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E2320"/>
                <w:sz w:val="18"/>
              </w:rPr>
              <w:t>0</w:t>
            </w:r>
          </w:p>
        </w:tc>
        <w:tc>
          <w:tcPr>
            <w:tcW w:type="dxa" w:w="2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Paper &amp; operations</w:t>
            </w:r>
          </w:p>
        </w:tc>
        <w:tc>
          <w:tcPr>
            <w:tcW w:type="dxa" w:w="21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2–5 business days, parallel</w:t>
            </w:r>
          </w:p>
        </w:tc>
        <w:tc>
          <w:tcPr>
            <w:tcW w:type="dxa" w:w="4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States, copy, privacy, owners, signed SOW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E2320"/>
                <w:sz w:val="18"/>
              </w:rPr>
              <w:t>1</w:t>
            </w:r>
          </w:p>
        </w:tc>
        <w:tc>
          <w:tcPr>
            <w:tcW w:type="dxa" w:w="2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Production foundation</w:t>
            </w:r>
          </w:p>
        </w:tc>
        <w:tc>
          <w:tcPr>
            <w:tcW w:type="dxa" w:w="21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3–5 engineering days</w:t>
            </w:r>
          </w:p>
        </w:tc>
        <w:tc>
          <w:tcPr>
            <w:tcW w:type="dxa" w:w="4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Durable data, auth, audit, environments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E2320"/>
                <w:sz w:val="18"/>
              </w:rPr>
              <w:t>2</w:t>
            </w:r>
          </w:p>
        </w:tc>
        <w:tc>
          <w:tcPr>
            <w:tcW w:type="dxa" w:w="2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Launch slice</w:t>
            </w:r>
          </w:p>
        </w:tc>
        <w:tc>
          <w:tcPr>
            <w:tcW w:type="dxa" w:w="21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5–8 engineering days</w:t>
            </w:r>
          </w:p>
        </w:tc>
        <w:tc>
          <w:tcPr>
            <w:tcW w:type="dxa" w:w="4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Intake, eligibility, queue, workflow, notifications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E2320"/>
                <w:sz w:val="18"/>
              </w:rPr>
              <w:t>3</w:t>
            </w:r>
          </w:p>
        </w:tc>
        <w:tc>
          <w:tcPr>
            <w:tcW w:type="dxa" w:w="2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Hardening &amp; release</w:t>
            </w:r>
          </w:p>
        </w:tc>
        <w:tc>
          <w:tcPr>
            <w:tcW w:type="dxa" w:w="21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3–5 engineering days</w:t>
            </w:r>
          </w:p>
        </w:tc>
        <w:tc>
          <w:tcPr>
            <w:tcW w:type="dxa" w:w="4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7F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Security, restore, QA, training, runbooks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E2320"/>
                <w:sz w:val="18"/>
              </w:rPr>
              <w:t>Pilot</w:t>
            </w:r>
          </w:p>
        </w:tc>
        <w:tc>
          <w:tcPr>
            <w:tcW w:type="dxa" w:w="2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Controlled private pilot</w:t>
            </w:r>
          </w:p>
        </w:tc>
        <w:tc>
          <w:tcPr>
            <w:tcW w:type="dxa" w:w="21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2 weeks</w:t>
            </w:r>
          </w:p>
        </w:tc>
        <w:tc>
          <w:tcPr>
            <w:tcW w:type="dxa" w:w="4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320"/>
                <w:sz w:val="18"/>
              </w:rPr>
              <w:t>Manual review, metrics, twice-weekly decisions</w:t>
            </w:r>
          </w:p>
        </w:tc>
      </w:tr>
    </w:tbl>
    <w:p>
      <w:r>
        <w:t>Recommended target: roughly three engineering weeks to a controlled pilot, subject to the legal, privacy, operational, and release gates—not a calendar-only promise.</w:t>
      </w:r>
    </w:p>
    <w:p>
      <w:pPr>
        <w:pStyle w:val="Heading1"/>
      </w:pPr>
      <w:r>
        <w:t>Workstream outcomes</w:t>
      </w:r>
    </w:p>
    <w:p>
      <w:pPr>
        <w:pStyle w:val="Heading2"/>
      </w:pPr>
      <w:r>
        <w:t>Gate 0 — Paper &amp; operations</w:t>
      </w:r>
    </w:p>
    <w:p>
      <w:r>
        <w:t>Pilot states, approved copy, receiving entity, privacy and retention decisions, staff list, queue owner, support promise, incident contacts, signed MSA/SOW, and client-owned production accounts.</w:t>
      </w:r>
    </w:p>
    <w:p>
      <w:pPr>
        <w:pStyle w:val="Heading2"/>
      </w:pPr>
      <w:r>
        <w:t>Workstream 1 — Foundation</w:t>
      </w:r>
    </w:p>
    <w:p>
      <w:r>
        <w:t>A staff-only production shell authenticates correctly, stores synthetic claims durably, separates environments, and emits traceable audit events.</w:t>
      </w:r>
    </w:p>
    <w:p>
      <w:pPr>
        <w:pStyle w:val="Heading2"/>
      </w:pPr>
      <w:r>
        <w:t>Workstream 2 — Launch slice</w:t>
      </w:r>
    </w:p>
    <w:p>
      <w:r>
        <w:t>The full mobile intake through staff follow-up works with synthetic data, including eligibility, consent, idempotency, status, assignment, notes, and notifications.</w:t>
      </w:r>
    </w:p>
    <w:p>
      <w:pPr>
        <w:pStyle w:val="Heading2"/>
      </w:pPr>
      <w:r>
        <w:t>Workstream 3 — Hardening</w:t>
      </w:r>
    </w:p>
    <w:p>
      <w:r>
        <w:t>Authorization, accessibility, cross-browser and failure-mode QA, backup restore, telemetry redaction, incident rehearsal, staff training, and end-to-end launch rehearsal all pass.</w:t>
      </w:r>
    </w:p>
    <w:p>
      <w:pPr>
        <w:pStyle w:val="Heading2"/>
      </w:pPr>
      <w:r>
        <w:t>Private pilot</w:t>
      </w:r>
    </w:p>
    <w:p>
      <w:r>
        <w:t>Controlled traffic in approved states, manual review of every submission, and twice-weekly review of completion, contact time, qualification, duplicates, support incidents, and abandonment.</w:t>
      </w:r>
    </w:p>
    <w:p>
      <w:pPr>
        <w:pStyle w:val="Heading1"/>
      </w:pPr>
      <w:r>
        <w:t>Launch acceptance gates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A submitted claim survives deployment, restart, and a successful database restore rehearsal.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Personal information is absent from the browser draft cookie and client-visible logs.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Anonymous users cannot read claims; unauthenticated staff cannot access protected surfaces.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Staff roles are enforced server-side for every protected read and write.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Every persisted homeowner field is visible and correctable before submission.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Duplicate submissions create one claim and one notification set.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Unsupported states cannot submit a production claim.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Notification failures are retried safely and visible to operators.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Claim access, exports, assignments, status changes, and notes generate audit events.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Backups, privacy, retention, deletion, monitoring, and incident response have named owners and rehearsed procedures.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Production copy contains no unapproved filing, representation, contractor, or fee promise.</w:t>
      </w:r>
    </w:p>
    <w:p>
      <w:pPr>
        <w:pStyle w:val="ListNumber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The prototype remains a separate demo; production carries a pilot label and support contact.</w:t>
      </w:r>
    </w:p>
    <w:p>
      <w:pPr>
        <w:pStyle w:val="Heading1"/>
      </w:pPr>
      <w:r>
        <w:t>Suggested production architecture</w:t>
      </w:r>
    </w:p>
    <w:p>
      <w:pPr>
        <w:spacing w:after="40" w:line="240" w:lineRule="auto"/>
        <w:ind w:left="216"/>
      </w:pPr>
      <w:r>
        <w:rPr>
          <w:rFonts w:ascii="Aptos" w:hAnsi="Aptos"/>
          <w:b/>
          <w:i w:val="0"/>
          <w:color w:val="5E2A28"/>
          <w:sz w:val="19"/>
        </w:rPr>
        <w:t xml:space="preserve">Application: </w:t>
      </w:r>
      <w:r>
        <w:rPr>
          <w:rFonts w:ascii="Aptos" w:hAnsi="Aptos"/>
          <w:b w:val="0"/>
          <w:i w:val="0"/>
          <w:color w:val="2E2320"/>
          <w:sz w:val="19"/>
        </w:rPr>
        <w:t>Keep Next.js, TypeScript, Tailwind, and Vercel.</w:t>
      </w:r>
    </w:p>
    <w:p>
      <w:pPr>
        <w:spacing w:after="40" w:line="240" w:lineRule="auto"/>
        <w:ind w:left="216"/>
      </w:pPr>
      <w:r>
        <w:rPr>
          <w:rFonts w:ascii="Aptos" w:hAnsi="Aptos"/>
          <w:b/>
          <w:i w:val="0"/>
          <w:color w:val="5E2A28"/>
          <w:sz w:val="19"/>
        </w:rPr>
        <w:t xml:space="preserve">Data: </w:t>
      </w:r>
      <w:r>
        <w:rPr>
          <w:rFonts w:ascii="Aptos" w:hAnsi="Aptos"/>
          <w:b w:val="0"/>
          <w:i w:val="0"/>
          <w:color w:val="2E2320"/>
          <w:sz w:val="19"/>
        </w:rPr>
        <w:t>Use managed PostgreSQL and retain Prisma initially to minimize migration risk.</w:t>
      </w:r>
    </w:p>
    <w:p>
      <w:pPr>
        <w:spacing w:after="40" w:line="240" w:lineRule="auto"/>
        <w:ind w:left="216"/>
      </w:pPr>
      <w:r>
        <w:rPr>
          <w:rFonts w:ascii="Aptos" w:hAnsi="Aptos"/>
          <w:b/>
          <w:i w:val="0"/>
          <w:color w:val="5E2A28"/>
          <w:sz w:val="19"/>
        </w:rPr>
        <w:t xml:space="preserve">Identity: </w:t>
      </w:r>
      <w:r>
        <w:rPr>
          <w:rFonts w:ascii="Aptos" w:hAnsi="Aptos"/>
          <w:b w:val="0"/>
          <w:i w:val="0"/>
          <w:color w:val="2E2320"/>
          <w:sz w:val="19"/>
        </w:rPr>
        <w:t>Use a managed provider with server-side sessions, staff allowlisting, roles, and MFA support.</w:t>
      </w:r>
    </w:p>
    <w:p>
      <w:pPr>
        <w:spacing w:after="40" w:line="240" w:lineRule="auto"/>
        <w:ind w:left="216"/>
      </w:pPr>
      <w:r>
        <w:rPr>
          <w:rFonts w:ascii="Aptos" w:hAnsi="Aptos"/>
          <w:b/>
          <w:i w:val="0"/>
          <w:color w:val="5E2A28"/>
          <w:sz w:val="19"/>
        </w:rPr>
        <w:t xml:space="preserve">Email: </w:t>
      </w:r>
      <w:r>
        <w:rPr>
          <w:rFonts w:ascii="Aptos" w:hAnsi="Aptos"/>
          <w:b w:val="0"/>
          <w:i w:val="0"/>
          <w:color w:val="2E2320"/>
          <w:sz w:val="19"/>
        </w:rPr>
        <w:t>Use a transactional provider with delivery events and idempotent sending.</w:t>
      </w:r>
    </w:p>
    <w:p>
      <w:pPr>
        <w:spacing w:after="40" w:line="240" w:lineRule="auto"/>
        <w:ind w:left="216"/>
      </w:pPr>
      <w:r>
        <w:rPr>
          <w:rFonts w:ascii="Aptos" w:hAnsi="Aptos"/>
          <w:b/>
          <w:i w:val="0"/>
          <w:color w:val="5E2A28"/>
          <w:sz w:val="19"/>
        </w:rPr>
        <w:t xml:space="preserve">Monitoring: </w:t>
      </w:r>
      <w:r>
        <w:rPr>
          <w:rFonts w:ascii="Aptos" w:hAnsi="Aptos"/>
          <w:b w:val="0"/>
          <w:i w:val="0"/>
          <w:color w:val="2E2320"/>
          <w:sz w:val="19"/>
        </w:rPr>
        <w:t>Use error monitoring and structured logs with deliberate personal-data redaction.</w:t>
      </w:r>
    </w:p>
    <w:p>
      <w:pPr>
        <w:spacing w:after="40" w:line="240" w:lineRule="auto"/>
        <w:ind w:left="216"/>
      </w:pPr>
      <w:r>
        <w:rPr>
          <w:rFonts w:ascii="Aptos" w:hAnsi="Aptos"/>
          <w:b/>
          <w:i w:val="0"/>
          <w:color w:val="5E2A28"/>
          <w:sz w:val="19"/>
        </w:rPr>
        <w:t xml:space="preserve">Extraction: </w:t>
      </w:r>
      <w:r>
        <w:rPr>
          <w:rFonts w:ascii="Aptos" w:hAnsi="Aptos"/>
          <w:b w:val="0"/>
          <w:i w:val="0"/>
          <w:color w:val="2E2320"/>
          <w:sz w:val="19"/>
        </w:rPr>
        <w:t>Keep deterministic local parsing authoritative. The bounded model pass stays optional and cannot block or overwrite local values.</w:t>
      </w:r>
    </w:p>
    <w:p>
      <w:pPr>
        <w:pStyle w:val="Heading1"/>
      </w:pPr>
      <w:r>
        <w:t>Decisions needed from Deskar 6 LLC</w:t>
      </w:r>
    </w:p>
    <w:p>
      <w:pPr>
        <w:pStyle w:val="ListBullet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Pilot states and the counsel who approved them.</w:t>
      </w:r>
    </w:p>
    <w:p>
      <w:pPr>
        <w:pStyle w:val="ListBullet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Exact public-facing entity and brand.</w:t>
      </w:r>
    </w:p>
    <w:p>
      <w:pPr>
        <w:pStyle w:val="ListBullet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Named staff users and the pilot queue owner.</w:t>
      </w:r>
    </w:p>
    <w:p>
      <w:pPr>
        <w:pStyle w:val="ListBullet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Response-time promise to homeowners.</w:t>
      </w:r>
    </w:p>
    <w:p>
      <w:pPr>
        <w:pStyle w:val="ListBullet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Privacy/retention owner and deletion contact.</w:t>
      </w:r>
    </w:p>
    <w:p>
      <w:pPr>
        <w:pStyle w:val="ListBullet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Whether policy number and deductible should remain optional or be collected at all.</w:t>
      </w:r>
    </w:p>
    <w:p>
      <w:pPr>
        <w:pStyle w:val="ListBullet"/>
        <w:keepLines/>
        <w:spacing w:after="20" w:line="240" w:lineRule="auto"/>
      </w:pPr>
      <w:r>
        <w:rPr>
          <w:rFonts w:ascii="Aptos" w:hAnsi="Aptos"/>
          <w:b w:val="0"/>
          <w:i w:val="0"/>
          <w:color w:val="2E2320"/>
          <w:sz w:val="19"/>
        </w:rPr>
        <w:t>Desired pilot start date and expected weekly claim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/>
        <w:b w:val="0"/>
        <w:i w:val="0"/>
        <w:color w:val="7C6B62"/>
        <w:sz w:val="17"/>
      </w:rPr>
      <w:t>StressFreeClaim.ai  •  Production launch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i w:val="0"/>
        <w:color w:val="7C6B62"/>
        <w:sz w:val="17"/>
      </w:rPr>
      <w:t>DESKAR 6 LLC  /  CONFIDENTIAL WORKING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5E2A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5E2A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5E2A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StressFreeClaim.ai Production Launch Plan</dc:title>
  <dc:subject>Recommended MVP promotion and private-pilot plan</dc:subject>
  <dc:creator>Prepared for Deskar 6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