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C31A" w14:textId="6BA4F3C7" w:rsidR="008068D0" w:rsidRDefault="00000000">
      <w:pPr>
        <w:spacing w:before="240" w:after="80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Sketchy → Lecture Mapping</w:t>
      </w:r>
    </w:p>
    <w:p w14:paraId="58187637" w14:textId="77777777" w:rsidR="008068D0" w:rsidRDefault="00000000">
      <w:pPr>
        <w:spacing w:after="40"/>
        <w:jc w:val="center"/>
      </w:pPr>
      <w:r>
        <w:rPr>
          <w:rFonts w:ascii="Arial" w:eastAsia="Arial" w:hAnsi="Arial" w:cs="Arial"/>
          <w:i/>
          <w:iCs/>
          <w:color w:val="2E75B6"/>
          <w:sz w:val="22"/>
          <w:szCs w:val="22"/>
        </w:rPr>
        <w:t>GI Block — In-House Lectures, Learning Objectives &amp; Anki Card IDs</w:t>
      </w:r>
    </w:p>
    <w:p w14:paraId="3D7BF78B" w14:textId="244E94A3" w:rsidR="008068D0" w:rsidRDefault="00F82CA4">
      <w:pPr>
        <w:pBdr>
          <w:bottom w:val="single" w:sz="5" w:space="4" w:color="2E75B6"/>
        </w:pBdr>
        <w:spacing w:after="300"/>
        <w:jc w:val="center"/>
      </w:pPr>
      <w:proofErr w:type="spellStart"/>
      <w:r>
        <w:rPr>
          <w:rFonts w:ascii="Arial" w:eastAsia="Arial" w:hAnsi="Arial" w:cs="Arial"/>
          <w:color w:val="8496A9"/>
          <w:sz w:val="18"/>
          <w:szCs w:val="18"/>
        </w:rPr>
        <w:t>HoyaDocs</w:t>
      </w:r>
      <w:proofErr w:type="spellEnd"/>
    </w:p>
    <w:p w14:paraId="57D467FC" w14:textId="77777777" w:rsidR="008068D0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How to Use This Document</w:t>
      </w:r>
    </w:p>
    <w:p w14:paraId="0AA61C3F" w14:textId="2A9804EB" w:rsidR="008068D0" w:rsidRDefault="00000000">
      <w:pPr>
        <w:spacing w:after="300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Each row maps </w:t>
      </w:r>
      <w:proofErr w:type="spellStart"/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a</w:t>
      </w:r>
      <w:proofErr w:type="spellEnd"/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in-house lecture to its learning objectives and the </w:t>
      </w:r>
      <w:proofErr w:type="spellStart"/>
      <w:r w:rsidR="00F82CA4">
        <w:rPr>
          <w:rFonts w:ascii="Arial" w:eastAsia="Arial" w:hAnsi="Arial" w:cs="Arial"/>
          <w:color w:val="000000"/>
          <w:sz w:val="18"/>
          <w:szCs w:val="18"/>
        </w:rPr>
        <w:t>ANKing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card IDs from the corresponding Sketchy section. </w:t>
      </w:r>
      <w:r>
        <w:rPr>
          <w:rFonts w:ascii="Arial" w:eastAsia="Arial" w:hAnsi="Arial" w:cs="Arial"/>
          <w:color w:val="7B5EA7"/>
          <w:sz w:val="18"/>
          <w:szCs w:val="18"/>
        </w:rPr>
        <w:t xml:space="preserve">Card IDs are shown in purple </w:t>
      </w:r>
      <w:r>
        <w:rPr>
          <w:rFonts w:ascii="Arial" w:eastAsia="Arial" w:hAnsi="Arial" w:cs="Arial"/>
          <w:color w:val="000000"/>
          <w:sz w:val="18"/>
          <w:szCs w:val="18"/>
        </w:rPr>
        <w:t>and correspond to the sequential card numbers in each Sketchy Anki HTML file. This document covers two subject areas: Anatomy &amp; Embryology (01_anatomy-01_GI-embryo) and Pharmacology (05_GI-01 files). All cards for each file are listed; use the HTML files to identify cards most aligned with each lecture’s specific topics.</w:t>
      </w:r>
    </w:p>
    <w:p w14:paraId="21964D5E" w14:textId="77777777" w:rsidR="008068D0" w:rsidRDefault="00000000">
      <w:pPr>
        <w:spacing w:after="4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Sketchy GI — 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Anatomy &amp; Embryology</w:t>
      </w:r>
    </w:p>
    <w:p w14:paraId="1E22D6A2" w14:textId="77777777" w:rsidR="008068D0" w:rsidRDefault="00000000">
      <w:pPr>
        <w:pBdr>
          <w:bottom w:val="single" w:sz="4" w:space="1" w:color="2E75B6"/>
        </w:pBdr>
        <w:spacing w:after="80"/>
      </w:pPr>
      <w:r>
        <w:rPr>
          <w:rFonts w:ascii="Arial" w:eastAsia="Arial" w:hAnsi="Arial" w:cs="Arial"/>
          <w:i/>
          <w:iCs/>
          <w:color w:val="8496A9"/>
          <w:sz w:val="16"/>
          <w:szCs w:val="16"/>
        </w:rPr>
        <w:t xml:space="preserve">Sketchy Anatomy: 01_anatomy-01_GI-embryo • 105 </w:t>
      </w:r>
      <w:proofErr w:type="gramStart"/>
      <w:r>
        <w:rPr>
          <w:rFonts w:ascii="Arial" w:eastAsia="Arial" w:hAnsi="Arial" w:cs="Arial"/>
          <w:i/>
          <w:iCs/>
          <w:color w:val="8496A9"/>
          <w:sz w:val="16"/>
          <w:szCs w:val="16"/>
        </w:rPr>
        <w:t>cards  •</w:t>
      </w:r>
      <w:proofErr w:type="gramEnd"/>
      <w:r>
        <w:rPr>
          <w:rFonts w:ascii="Arial" w:eastAsia="Arial" w:hAnsi="Arial" w:cs="Arial"/>
          <w:i/>
          <w:iCs/>
          <w:color w:val="8496A9"/>
          <w:sz w:val="16"/>
          <w:szCs w:val="16"/>
        </w:rPr>
        <w:t xml:space="preserve">  GI Tract, Abdominal Wall, Hepatobiliary, Retroperitoneum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525"/>
        <w:gridCol w:w="6871"/>
        <w:gridCol w:w="3963"/>
      </w:tblGrid>
      <w:tr w:rsidR="008068D0" w14:paraId="35DF76B0" w14:textId="77777777">
        <w:trPr>
          <w:tblHeader/>
        </w:trPr>
        <w:tc>
          <w:tcPr>
            <w:tcW w:w="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0C344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 #</w:t>
            </w:r>
          </w:p>
        </w:tc>
        <w:tc>
          <w:tcPr>
            <w:tcW w:w="25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FED4F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In-House Lecture</w:t>
            </w:r>
          </w:p>
        </w:tc>
        <w:tc>
          <w:tcPr>
            <w:tcW w:w="69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FAEDC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Objectives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432D9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Anki Card IDs</w:t>
            </w:r>
          </w:p>
        </w:tc>
      </w:tr>
      <w:tr w:rsidR="008068D0" w14:paraId="23B7EF83" w14:textId="77777777"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8D91F31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7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C8E922A" w14:textId="77777777" w:rsidR="008068D0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Embryology</w:t>
            </w:r>
          </w:p>
          <w:p w14:paraId="248A164C" w14:textId="77777777" w:rsidR="008068D0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GI Primer — Embryology Overview</w:t>
            </w:r>
          </w:p>
          <w:p w14:paraId="60862E8F" w14:textId="25016C1C" w:rsidR="008068D0" w:rsidRDefault="008068D0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6B512B2" w14:textId="77777777" w:rsidR="008068D0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Embryology: Endoderm &amp; Gut Tube Formation</w:t>
            </w:r>
          </w:p>
          <w:p w14:paraId="3B9AFBF9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the formation of the definitive endoderm.</w:t>
            </w:r>
          </w:p>
          <w:p w14:paraId="43C159F8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regions of the endoderm gut tube.</w:t>
            </w:r>
          </w:p>
          <w:p w14:paraId="6BA5691D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which organs arise from which region of the endoderm gut tube.</w:t>
            </w:r>
          </w:p>
          <w:p w14:paraId="43BE7E90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arterial supply for each region of the gut tube endoderm.</w:t>
            </w:r>
          </w:p>
          <w:p w14:paraId="7E0A2BE8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how the definitive gut develops to form the digestive tract.</w:t>
            </w:r>
          </w:p>
          <w:p w14:paraId="67435C10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basic molecular mechanisms that initiate and regulate endoderm development.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E2FCA86" w14:textId="77777777" w:rsidR="008068D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01_anatomy-01_GI-embryo (105 cards):</w:t>
            </w:r>
          </w:p>
          <w:p w14:paraId="2A79420F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08E808F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48AC2167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E8A3F11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68A23010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311ABB31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698C176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3E6B7528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3B7A6117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60EB75D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4415763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06647758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57432543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45F96151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0B17426F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165C6648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71CC9658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50B0A507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</w:t>
            </w:r>
          </w:p>
        </w:tc>
      </w:tr>
      <w:tr w:rsidR="008068D0" w14:paraId="3E9E6772" w14:textId="77777777"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26C32A1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12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BDF339C" w14:textId="77777777" w:rsidR="008068D0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Embryology</w:t>
            </w:r>
          </w:p>
          <w:p w14:paraId="6CCBE1CD" w14:textId="77777777" w:rsidR="008068D0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Gastrointestinal Embryology</w:t>
            </w:r>
          </w:p>
          <w:p w14:paraId="64A27885" w14:textId="429D459D" w:rsidR="008068D0" w:rsidRDefault="008068D0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7F67AAE" w14:textId="77777777" w:rsidR="008068D0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Embryology: Body Folding, Mesentery &amp; Gut Rotation</w:t>
            </w:r>
          </w:p>
          <w:p w14:paraId="55CD426C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formation of the tube-within-a-tube body plan with respect to embryonic folding.</w:t>
            </w:r>
          </w:p>
          <w:p w14:paraId="3E7A0193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origin of mesentery and delineate the derivatives of the ventral and dorsal mesentery.</w:t>
            </w:r>
          </w:p>
          <w:p w14:paraId="699B4429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embryological formation of the foregut, midgut, and hindgut; define adult derivatives and correlate with associated vasculature.</w:t>
            </w:r>
          </w:p>
          <w:p w14:paraId="0492B7FC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Trace the formation of the enteric nervous system.</w:t>
            </w:r>
          </w:p>
          <w:p w14:paraId="0BA8DEEB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Correlate congenital clinical presentations with their embryological cause (malrotation, volvulus, Hirschsprung disease, Meckel diverticulum).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87CA2D4" w14:textId="77777777" w:rsidR="008068D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01_anatomy-01_GI-embryo (105 cards):</w:t>
            </w:r>
          </w:p>
          <w:p w14:paraId="107F8778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077CC20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582BC880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22B7C76B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7F6A2371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25DEA282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690D23D3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3824443F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625B029F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49.1, 50.1, 51.1, 52.1, 53.1, 54.1</w:t>
            </w:r>
          </w:p>
          <w:p w14:paraId="5880708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5269613A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FC3CFC7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0606D9BE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4FDBF656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44861071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663198AA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17BA94E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6BEEAE37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</w:t>
            </w:r>
          </w:p>
        </w:tc>
      </w:tr>
      <w:tr w:rsidR="008068D0" w14:paraId="1252E8F9" w14:textId="77777777"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DF356CE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3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B56073C" w14:textId="77777777" w:rsidR="008068D0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</w:t>
            </w:r>
          </w:p>
          <w:p w14:paraId="0E605FF1" w14:textId="77777777" w:rsidR="008068D0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Anterior Abdominal Wall, Inguinal Region &amp; Peritoneum</w:t>
            </w:r>
          </w:p>
          <w:p w14:paraId="224D5D8B" w14:textId="268470E7" w:rsidR="008068D0" w:rsidRDefault="008068D0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D0A71CB" w14:textId="77777777" w:rsidR="008068D0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Abdominal Wall &amp; Hernias</w:t>
            </w:r>
          </w:p>
          <w:p w14:paraId="64BC397B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structures forming the anterior abdominal wall and the inguinal canal.</w:t>
            </w:r>
          </w:p>
          <w:p w14:paraId="23F6217D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Apply knowledge of vasculature, lymphatics, and innervation of the anterior abdominal wall to clinical situations.</w:t>
            </w:r>
          </w:p>
          <w:p w14:paraId="346F9147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cavities formed by the peritoneum.</w:t>
            </w:r>
          </w:p>
          <w:p w14:paraId="3725149B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mechanism and location of common hernias (indirect inguinal, direct inguinal, femoral, umbilical).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494408C" w14:textId="77777777" w:rsidR="008068D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01_anatomy-01_GI-embryo (105 cards):</w:t>
            </w:r>
          </w:p>
          <w:p w14:paraId="667D0436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5178526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525BF478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2CBE8E7D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56D24A8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724134D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6E055BBE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5E9D8201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5B91557A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7188FF7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2FBE33E8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EDA0880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7D84D955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6C9292FA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4E1D7FD3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5CBD96FF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70568A3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4300D75D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</w:t>
            </w:r>
          </w:p>
        </w:tc>
      </w:tr>
      <w:tr w:rsidR="008068D0" w14:paraId="733E8C9E" w14:textId="77777777"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1C0584D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8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B082C29" w14:textId="77777777" w:rsidR="008068D0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</w:t>
            </w:r>
          </w:p>
          <w:p w14:paraId="2392DE7D" w14:textId="77777777" w:rsidR="008068D0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Abdominal Viscera I: Gastrointestinal Tract</w:t>
            </w:r>
          </w:p>
          <w:p w14:paraId="546E20B9" w14:textId="41EC11BA" w:rsidR="008068D0" w:rsidRDefault="008068D0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FEA45B5" w14:textId="77777777" w:rsidR="008068D0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Tract Anatomy</w:t>
            </w:r>
          </w:p>
          <w:p w14:paraId="7980E4D3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different segments of the GI tract with respect to their vasculature, lymphatics, and innervation.</w:t>
            </w:r>
          </w:p>
          <w:p w14:paraId="60D77C12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Apply knowledge of anatomical approximations of the GI tract to common clinical observations.</w:t>
            </w:r>
          </w:p>
          <w:p w14:paraId="45BF9D53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referred pain origins and locations in the abdomen.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3034A5F" w14:textId="77777777" w:rsidR="008068D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01_anatomy-01_GI-embryo (105 cards):</w:t>
            </w:r>
          </w:p>
          <w:p w14:paraId="10491AD2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5F96AAE0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3226433E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0EE82A2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591643E9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4638314A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74C7BB8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2D72D7A1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29C71960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5625423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6E69A5E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660F3130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6FDEF233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56FE80B8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7C9CE5C9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2A285325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91.1, 92.1, 93.1, 94.1, 95.1, 96.1</w:t>
            </w:r>
          </w:p>
          <w:p w14:paraId="680A8755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76F6C05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</w:t>
            </w:r>
          </w:p>
        </w:tc>
      </w:tr>
      <w:tr w:rsidR="008068D0" w14:paraId="411C5B54" w14:textId="77777777"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1A58BB3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13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6ED2713" w14:textId="77777777" w:rsidR="008068D0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</w:t>
            </w:r>
          </w:p>
          <w:p w14:paraId="5300BD99" w14:textId="77777777" w:rsidR="008068D0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Abdominal Viscera II: Hepatobiliary System &amp; Pancreas</w:t>
            </w:r>
          </w:p>
          <w:p w14:paraId="5E766B2D" w14:textId="1870F52C" w:rsidR="008068D0" w:rsidRDefault="008068D0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FFA79F5" w14:textId="77777777" w:rsidR="008068D0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Hepatobiliary &amp; Pancreas Anatomy</w:t>
            </w:r>
          </w:p>
          <w:p w14:paraId="47259953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components of the hepatobiliary system.</w:t>
            </w:r>
          </w:p>
          <w:p w14:paraId="0877DF98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blood supply to the spleen and its clinical importance.</w:t>
            </w:r>
          </w:p>
          <w:p w14:paraId="79C986E8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anatomical location of the pancreas and its relevance to obstructive jaundice syndromes.</w:t>
            </w:r>
          </w:p>
          <w:p w14:paraId="4349776E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Match the anatomical locations of the hepatobiliary system and pancreas to their physiological functions in digestion.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4778841" w14:textId="77777777" w:rsidR="008068D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01_anatomy-01_GI-embryo (105 cards):</w:t>
            </w:r>
          </w:p>
          <w:p w14:paraId="28B328E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7C346F4B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029E807E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5B41900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392FC375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86A41A8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1F65C84A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1EC174E9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7EAEC0B1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11235365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1342FE5E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0C252A3A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08D1B0E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6F7BC8AF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7ACEC1B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68EA186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77B693D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32534F77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</w:t>
            </w:r>
          </w:p>
        </w:tc>
      </w:tr>
      <w:tr w:rsidR="008068D0" w14:paraId="6C87E0FC" w14:textId="77777777"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7E869D9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29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A319CD9" w14:textId="77777777" w:rsidR="008068D0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</w:t>
            </w:r>
          </w:p>
          <w:p w14:paraId="4C5B03C7" w14:textId="77777777" w:rsidR="008068D0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Posterior Abdominal Wall &amp; Retroperitoneum</w:t>
            </w:r>
          </w:p>
          <w:p w14:paraId="5AACC60E" w14:textId="407A6257" w:rsidR="008068D0" w:rsidRDefault="008068D0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136DBFB" w14:textId="77777777" w:rsidR="008068D0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Retroperitoneum</w:t>
            </w:r>
          </w:p>
          <w:p w14:paraId="20A1FE4F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intraperitoneal and retroperitoneal organs of the GI tract.</w:t>
            </w:r>
          </w:p>
          <w:p w14:paraId="01A5D32D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the locations of major blood vessels in reference to each other and abdominal viscera.</w:t>
            </w:r>
          </w:p>
          <w:p w14:paraId="51A31AD9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structures that penetrate the diaphragm.</w:t>
            </w:r>
          </w:p>
          <w:p w14:paraId="7949C4D5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potential locations of urolithiasis of kidneys and ureters in the retroperitoneal space.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E11080E" w14:textId="77777777" w:rsidR="008068D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01_anatomy-01_GI-embryo (105 cards):</w:t>
            </w:r>
          </w:p>
          <w:p w14:paraId="0E6ED17D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C675810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33AA4BB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272830AF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4BE064B1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A83C033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2B7165EE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3860299D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5C2930D1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3342B863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21A88E7A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5A6E8FFF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5E9713E2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64E2B4AB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6839EFB7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11AE396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63DC791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1C1F0177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</w:t>
            </w:r>
          </w:p>
        </w:tc>
      </w:tr>
    </w:tbl>
    <w:p w14:paraId="33CF0A93" w14:textId="77777777" w:rsidR="008068D0" w:rsidRDefault="008068D0">
      <w:pPr>
        <w:spacing w:after="300"/>
      </w:pPr>
    </w:p>
    <w:p w14:paraId="28D579F4" w14:textId="77777777" w:rsidR="008068D0" w:rsidRDefault="00000000">
      <w:pPr>
        <w:spacing w:after="4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Sketchy GI — 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Pharmacology</w:t>
      </w:r>
    </w:p>
    <w:p w14:paraId="20B4433C" w14:textId="77777777" w:rsidR="008068D0" w:rsidRDefault="00000000">
      <w:pPr>
        <w:pBdr>
          <w:bottom w:val="single" w:sz="4" w:space="1" w:color="2E75B6"/>
        </w:pBdr>
        <w:spacing w:after="80"/>
      </w:pPr>
      <w:r>
        <w:rPr>
          <w:rFonts w:ascii="Arial" w:eastAsia="Arial" w:hAnsi="Arial" w:cs="Arial"/>
          <w:i/>
          <w:iCs/>
          <w:color w:val="8496A9"/>
          <w:sz w:val="16"/>
          <w:szCs w:val="16"/>
        </w:rPr>
        <w:lastRenderedPageBreak/>
        <w:t>Sketchy Pharm: 05_GI-01_GI-01 Antiemetics • GI-02 H2 Blockers • GI-03 Laxatives • GI-04 Antidiarrheals • GI-FA First Aid Summary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524"/>
        <w:gridCol w:w="6870"/>
        <w:gridCol w:w="3965"/>
      </w:tblGrid>
      <w:tr w:rsidR="008068D0" w14:paraId="1C7B0618" w14:textId="77777777">
        <w:trPr>
          <w:tblHeader/>
        </w:trPr>
        <w:tc>
          <w:tcPr>
            <w:tcW w:w="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4141D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 #</w:t>
            </w:r>
          </w:p>
        </w:tc>
        <w:tc>
          <w:tcPr>
            <w:tcW w:w="25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462AA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In-House Lecture</w:t>
            </w:r>
          </w:p>
        </w:tc>
        <w:tc>
          <w:tcPr>
            <w:tcW w:w="69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A148E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Objectives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39514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Anki Card IDs</w:t>
            </w:r>
          </w:p>
        </w:tc>
      </w:tr>
      <w:tr w:rsidR="008068D0" w14:paraId="16CB46E7" w14:textId="77777777"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6A59ACA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21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A300995" w14:textId="77777777" w:rsidR="008068D0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Pharmacology</w:t>
            </w:r>
          </w:p>
          <w:p w14:paraId="6FEC5691" w14:textId="77777777" w:rsidR="008068D0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Poisoning Conferences &amp; Cases</w:t>
            </w:r>
          </w:p>
          <w:p w14:paraId="58C1F6C7" w14:textId="321B76C7" w:rsidR="008068D0" w:rsidRDefault="008068D0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425251C" w14:textId="77777777" w:rsidR="008068D0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Clinical Toxicology &amp; GI Poisons</w:t>
            </w:r>
          </w:p>
          <w:p w14:paraId="400D5D77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primary source for epidemiological and demographic information about poison exposures in the United States.</w:t>
            </w:r>
          </w:p>
          <w:p w14:paraId="5BC78435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substances associated with the greatest number of poison-related fatalities.</w:t>
            </w:r>
          </w:p>
          <w:p w14:paraId="1027C743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Take a relevant history when a poison exposure is thought to be the basis of a patient’s symptoms.</w:t>
            </w:r>
          </w:p>
          <w:p w14:paraId="61141F4B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patient presentations that should alert the clinician to the possibility of a poison exposure.</w:t>
            </w:r>
          </w:p>
          <w:p w14:paraId="5C0164CC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Order basic and toxicology-related laboratory studies appropriate for a patient’s history and/or presentation.</w:t>
            </w:r>
          </w:p>
          <w:p w14:paraId="3C84DD2C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Select appropriate method(s) of decontamination.</w:t>
            </w:r>
          </w:p>
          <w:p w14:paraId="5025AC83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rationale for using specific antidotes in GI poison exposure scenarios; identify antiemetic agents used in the management of poisoning-related nausea.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057FB06" w14:textId="77777777" w:rsidR="008068D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05_GI-01_GI-01-Antiemetic (37 cards):</w:t>
            </w:r>
          </w:p>
          <w:p w14:paraId="5A46026D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AD7E2FE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572C0A7B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4F9AF337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671595B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457D9967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7E72D7B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</w:t>
            </w:r>
          </w:p>
        </w:tc>
      </w:tr>
      <w:tr w:rsidR="008068D0" w14:paraId="7DD07256" w14:textId="77777777"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F6BCC49" w14:textId="77777777" w:rsidR="008068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23 &amp; 24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588C11F" w14:textId="77777777" w:rsidR="008068D0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Pharmacology</w:t>
            </w:r>
          </w:p>
          <w:p w14:paraId="5A65895E" w14:textId="77777777" w:rsidR="008068D0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Treatment of Peptic Ulcer Disease, GERD &amp; Other GI Disorders</w:t>
            </w:r>
          </w:p>
          <w:p w14:paraId="0453C374" w14:textId="62A87B98" w:rsidR="008068D0" w:rsidRDefault="008068D0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C7DE6A0" w14:textId="77777777" w:rsidR="008068D0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Pharmacology — Acid Reduction, Motility &amp; Bowel Agents</w:t>
            </w:r>
          </w:p>
          <w:p w14:paraId="2505456B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possible targets for control of gastric acid and the classes of drugs (and their mechanism of action) used at those sites.</w:t>
            </w:r>
          </w:p>
          <w:p w14:paraId="5644E3AD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use of triple or quadruple therapy in the treatment of H. pylori infections; name the drugs used.</w:t>
            </w:r>
          </w:p>
          <w:p w14:paraId="2BDF3A77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the physiological basis for GERD; explain the rationale and pharmacology for antacids in peptic ulcer disease and GERD.</w:t>
            </w:r>
          </w:p>
          <w:p w14:paraId="2DD2C02C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Discuss the role of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cytoprotection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 the control of peptic ulcers; explain the pharmacology of cytoprotective agents (sucralfate, misoprostol).</w:t>
            </w:r>
          </w:p>
          <w:p w14:paraId="092322C4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mechanism of action, uses, and side effects of H2 receptor antagonists and proton pump inhibitors.</w:t>
            </w:r>
          </w:p>
          <w:p w14:paraId="23F97752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pharmacologic management of nausea/vomiting (antiemetics), constipation (laxatives), and diarrhea (antidiarrheals).</w:t>
            </w:r>
          </w:p>
          <w:p w14:paraId="34634E85" w14:textId="77777777" w:rsidR="008068D0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drug classes used in the management of IBD and IBS.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0C813F7" w14:textId="77777777" w:rsidR="008068D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05_GI-01_GI-01-Antiemetic (37 cards):</w:t>
            </w:r>
          </w:p>
          <w:p w14:paraId="76B2C7CA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3A78126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0C1276E2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3B677B0B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BE81EA7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2ECB559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2DF5F88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</w:t>
            </w:r>
          </w:p>
          <w:p w14:paraId="504BA9FB" w14:textId="77777777" w:rsidR="008068D0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05_GI-01_GI-02-H2_Receptor (22 cards):</w:t>
            </w:r>
          </w:p>
          <w:p w14:paraId="01C4EDB6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7AE0055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7F3959C8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6363E92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</w:t>
            </w:r>
          </w:p>
          <w:p w14:paraId="7A0B5D0C" w14:textId="77777777" w:rsidR="008068D0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05_GI-01_GI-03_Laxatives (21 cards):</w:t>
            </w:r>
          </w:p>
          <w:p w14:paraId="20FD98C9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3BDB216D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609E143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2B7B2022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</w:t>
            </w:r>
          </w:p>
          <w:p w14:paraId="2D8C8621" w14:textId="77777777" w:rsidR="008068D0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05_GI-01_GI-04_Antidiarrheal (12 cards):</w:t>
            </w:r>
          </w:p>
          <w:p w14:paraId="0302684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0E67E9F4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4386EDEA" w14:textId="77777777" w:rsidR="008068D0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05_GI-01_GI-FA (28 cards):</w:t>
            </w:r>
          </w:p>
          <w:p w14:paraId="2A62044C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0D4BACBB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2B2E4299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28BDB80F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114ACE13" w14:textId="77777777" w:rsidR="008068D0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</w:t>
            </w:r>
          </w:p>
        </w:tc>
      </w:tr>
    </w:tbl>
    <w:p w14:paraId="40BF395D" w14:textId="77777777" w:rsidR="008068D0" w:rsidRDefault="008068D0">
      <w:pPr>
        <w:spacing w:after="300"/>
      </w:pPr>
    </w:p>
    <w:sectPr w:rsidR="008068D0">
      <w:pgSz w:w="15840" w:h="122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0185"/>
    <w:multiLevelType w:val="hybridMultilevel"/>
    <w:tmpl w:val="E55A53CE"/>
    <w:lvl w:ilvl="0" w:tplc="7DACB8BE">
      <w:start w:val="1"/>
      <w:numFmt w:val="bullet"/>
      <w:lvlText w:val="●"/>
      <w:lvlJc w:val="left"/>
      <w:pPr>
        <w:ind w:left="720" w:hanging="360"/>
      </w:pPr>
    </w:lvl>
    <w:lvl w:ilvl="1" w:tplc="E4869CCA">
      <w:start w:val="1"/>
      <w:numFmt w:val="bullet"/>
      <w:lvlText w:val="○"/>
      <w:lvlJc w:val="left"/>
      <w:pPr>
        <w:ind w:left="1440" w:hanging="360"/>
      </w:pPr>
    </w:lvl>
    <w:lvl w:ilvl="2" w:tplc="87B24D48">
      <w:start w:val="1"/>
      <w:numFmt w:val="bullet"/>
      <w:lvlText w:val="■"/>
      <w:lvlJc w:val="left"/>
      <w:pPr>
        <w:ind w:left="2160" w:hanging="360"/>
      </w:pPr>
    </w:lvl>
    <w:lvl w:ilvl="3" w:tplc="12B85E2C">
      <w:start w:val="1"/>
      <w:numFmt w:val="bullet"/>
      <w:lvlText w:val="●"/>
      <w:lvlJc w:val="left"/>
      <w:pPr>
        <w:ind w:left="2880" w:hanging="360"/>
      </w:pPr>
    </w:lvl>
    <w:lvl w:ilvl="4" w:tplc="21783EEE">
      <w:start w:val="1"/>
      <w:numFmt w:val="bullet"/>
      <w:lvlText w:val="○"/>
      <w:lvlJc w:val="left"/>
      <w:pPr>
        <w:ind w:left="3600" w:hanging="360"/>
      </w:pPr>
    </w:lvl>
    <w:lvl w:ilvl="5" w:tplc="AEBCE4CE">
      <w:start w:val="1"/>
      <w:numFmt w:val="bullet"/>
      <w:lvlText w:val="■"/>
      <w:lvlJc w:val="left"/>
      <w:pPr>
        <w:ind w:left="4320" w:hanging="360"/>
      </w:pPr>
    </w:lvl>
    <w:lvl w:ilvl="6" w:tplc="2DEE4908">
      <w:start w:val="1"/>
      <w:numFmt w:val="bullet"/>
      <w:lvlText w:val="●"/>
      <w:lvlJc w:val="left"/>
      <w:pPr>
        <w:ind w:left="5040" w:hanging="360"/>
      </w:pPr>
    </w:lvl>
    <w:lvl w:ilvl="7" w:tplc="1468253C">
      <w:start w:val="1"/>
      <w:numFmt w:val="bullet"/>
      <w:lvlText w:val="●"/>
      <w:lvlJc w:val="left"/>
      <w:pPr>
        <w:ind w:left="5760" w:hanging="360"/>
      </w:pPr>
    </w:lvl>
    <w:lvl w:ilvl="8" w:tplc="CA8615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BC4EE3"/>
    <w:multiLevelType w:val="hybridMultilevel"/>
    <w:tmpl w:val="66F400D2"/>
    <w:lvl w:ilvl="0" w:tplc="D5664D12">
      <w:start w:val="1"/>
      <w:numFmt w:val="bullet"/>
      <w:lvlText w:val="•"/>
      <w:lvlJc w:val="left"/>
      <w:pPr>
        <w:ind w:left="360" w:hanging="360"/>
      </w:pPr>
    </w:lvl>
    <w:lvl w:ilvl="1" w:tplc="12FA8072">
      <w:start w:val="1"/>
      <w:numFmt w:val="bullet"/>
      <w:lvlText w:val="○"/>
      <w:lvlJc w:val="left"/>
      <w:pPr>
        <w:ind w:left="720" w:hanging="360"/>
      </w:pPr>
    </w:lvl>
    <w:lvl w:ilvl="2" w:tplc="38B625E2">
      <w:numFmt w:val="decimal"/>
      <w:lvlText w:val=""/>
      <w:lvlJc w:val="left"/>
    </w:lvl>
    <w:lvl w:ilvl="3" w:tplc="A4FA92EE">
      <w:numFmt w:val="decimal"/>
      <w:lvlText w:val=""/>
      <w:lvlJc w:val="left"/>
    </w:lvl>
    <w:lvl w:ilvl="4" w:tplc="25A44EB4">
      <w:numFmt w:val="decimal"/>
      <w:lvlText w:val=""/>
      <w:lvlJc w:val="left"/>
    </w:lvl>
    <w:lvl w:ilvl="5" w:tplc="B0820E32">
      <w:numFmt w:val="decimal"/>
      <w:lvlText w:val=""/>
      <w:lvlJc w:val="left"/>
    </w:lvl>
    <w:lvl w:ilvl="6" w:tplc="13CE1F84">
      <w:numFmt w:val="decimal"/>
      <w:lvlText w:val=""/>
      <w:lvlJc w:val="left"/>
    </w:lvl>
    <w:lvl w:ilvl="7" w:tplc="859ADF2C">
      <w:numFmt w:val="decimal"/>
      <w:lvlText w:val=""/>
      <w:lvlJc w:val="left"/>
    </w:lvl>
    <w:lvl w:ilvl="8" w:tplc="5CE4F640">
      <w:numFmt w:val="decimal"/>
      <w:lvlText w:val=""/>
      <w:lvlJc w:val="left"/>
    </w:lvl>
  </w:abstractNum>
  <w:num w:numId="1" w16cid:durableId="1313871915">
    <w:abstractNumId w:val="0"/>
    <w:lvlOverride w:ilvl="0">
      <w:startOverride w:val="1"/>
    </w:lvlOverride>
  </w:num>
  <w:num w:numId="2" w16cid:durableId="143936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D0"/>
    <w:rsid w:val="00075DF4"/>
    <w:rsid w:val="002F2FE5"/>
    <w:rsid w:val="006B5FB5"/>
    <w:rsid w:val="008068D0"/>
    <w:rsid w:val="0083671B"/>
    <w:rsid w:val="00954DD0"/>
    <w:rsid w:val="00C86F83"/>
    <w:rsid w:val="00F8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65716"/>
  <w15:docId w15:val="{3B3CAE75-1A56-8247-9DBE-FA5C496D7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1569</Words>
  <Characters>8944</Characters>
  <Application>Microsoft Office Word</Application>
  <DocSecurity>0</DocSecurity>
  <Lines>74</Lines>
  <Paragraphs>20</Paragraphs>
  <ScaleCrop>false</ScaleCrop>
  <Company/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Ashley R Johnston</cp:lastModifiedBy>
  <cp:revision>3</cp:revision>
  <dcterms:created xsi:type="dcterms:W3CDTF">2026-04-10T02:54:00Z</dcterms:created>
  <dcterms:modified xsi:type="dcterms:W3CDTF">2026-04-10T02:54:00Z</dcterms:modified>
</cp:coreProperties>
</file>