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/>
        <w:jc w:val="center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Sketchy → GUSOM Lecture Mapping</w:t>
      </w:r>
    </w:p>
    <w:p>
      <w:pPr>
        <w:spacing w:after="40" w:before="0"/>
        <w:jc w:val="center"/>
      </w:pPr>
      <w:r>
        <w:rPr>
          <w:rFonts w:ascii="Arial" w:cs="Arial" w:eastAsia="Arial" w:hAnsi="Arial"/>
          <w:i/>
          <w:iCs/>
          <w:color w:val="2E75B6"/>
          <w:sz w:val="22"/>
          <w:szCs w:val="22"/>
        </w:rPr>
        <w:t xml:space="preserve">GI Block — In-House Lectures, Learning Objectives &amp; Anki Card IDs</w:t>
      </w:r>
    </w:p>
    <w:p>
      <w:pPr>
        <w:pBdr>
          <w:bottom w:val="single" w:color="2E75B6" w:sz="5" w:space="4"/>
        </w:pBdr>
        <w:spacing w:after="300" w:before="0"/>
        <w:jc w:val="center"/>
      </w:pPr>
      <w:r>
        <w:rPr>
          <w:rFonts w:ascii="Arial" w:cs="Arial" w:eastAsia="Arial" w:hAnsi="Arial"/>
          <w:color w:val="8496A9"/>
          <w:sz w:val="18"/>
          <w:szCs w:val="18"/>
        </w:rPr>
        <w:t xml:space="preserve">Georgetown University School of Medicine</w:t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F3864"/>
          <w:sz w:val="22"/>
          <w:szCs w:val="22"/>
        </w:rPr>
        <w:t xml:space="preserve">How to Use This Document</w:t>
      </w:r>
    </w:p>
    <w:p>
      <w:pPr>
        <w:spacing w:after="300" w:before="0"/>
      </w:pPr>
      <w:r>
        <w:rPr>
          <w:rFonts w:ascii="Arial" w:cs="Arial" w:eastAsia="Arial" w:hAnsi="Arial"/>
          <w:color w:val="000000"/>
          <w:sz w:val="18"/>
          <w:szCs w:val="18"/>
        </w:rPr>
        <w:t xml:space="preserve">Each row maps a GUSOM in-house lecture to its learning objectives and the Anki card IDs from the corresponding Sketchy section. </w:t>
      </w:r>
      <w:r>
        <w:rPr>
          <w:rFonts w:ascii="Arial" w:cs="Arial" w:eastAsia="Arial" w:hAnsi="Arial"/>
          <w:color w:val="7B5EA7"/>
          <w:sz w:val="18"/>
          <w:szCs w:val="18"/>
        </w:rPr>
        <w:t xml:space="preserve">Card IDs are shown in purple </w:t>
      </w:r>
      <w:r>
        <w:rPr>
          <w:rFonts w:ascii="Arial" w:cs="Arial" w:eastAsia="Arial" w:hAnsi="Arial"/>
          <w:color w:val="000000"/>
          <w:sz w:val="18"/>
          <w:szCs w:val="18"/>
        </w:rPr>
        <w:t xml:space="preserve">and correspond to the sequential card numbers in each Sketchy Anki HTML file. This document covers two subject areas: Anatomy &amp; Embryology (01_anatomy-01_GI-embryo) and Pharmacology (05_GI-01 files). All cards for each file are listed; use the HTML files to identify cards most aligned with each lecture’s specific topics.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Sketchy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Anatomy &amp; Embryology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Sketchy Anatomy: 01_anatomy-01_GI-embryo • 105 cards  •  GI Tract, Abdominal Wall, Hepatobiliary, Retroperitoneum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7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Embryology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GI Primer — Embryology Overview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Embryology: Endoderm &amp; Gut Tube Formation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formation of the definitive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regions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which organs arise from which region of the endoderm gut tube.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arterial supply for each region of the gut tube endoderm.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how the definitive gut develops to form the digestive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basic molecular mechanisms that initiate and regulate endoderm development.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12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Embryology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Gastrointestinal Embryology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Schmaier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Embryology: Body Folding, Mesentery &amp; Gut Rotation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formation of the tube-within-a-tube body plan with respect to embryonic folding.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origin of mesentery and delineate the derivatives of the ventral and dorsal mesentery.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embryological formation of the foregut, midgut, and hindgut; define adult derivatives and correlate with associated vasculature.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Trace the formation of the enteric nervous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Correlate congenital clinical presentations with their embryological cause (malrotation, volvulus, Hirschsprung disease, Meckel diverticulum).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Anterior Abdominal Wall, Inguinal Region &amp; Peritoneum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Abdominal Wall &amp; Hernias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structures forming the anterior abdominal wall and the inguinal canal.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vasculature, lymphatics, and innervation of the anterior abdominal wall to clinical situations.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cavities formed by the peritoneum.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mechanism and location of common hernias (indirect inguinal, direct inguinal, femoral, umbilical).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8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I: Gastrointestinal Tract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Tract Anatomy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different segments of the GI tract with respect to their vasculature, lymphatics, and innervation.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Apply knowledge of anatomical approximations of the GI tract to common clinical observations.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referred pain origins and locations in the abdomen.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13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Abdominal Viscera II: Hepatobiliary System &amp; Pancreas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Hepatobiliary &amp; Pancreas Anatomy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components of the hepatobiliary system.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blood supply to the spleen and its clinical importance.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anatomical location of the pancreas and its relevance to obstructive jaundice syndromes.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Match the anatomical locations of the hepatobiliary system and pancreas to their physiological functions in digestion.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29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Anatomy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Posterior Abdominal Wall &amp; Retroperitoneum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Bhatt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Retroperitoneum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Distinguish the intraperitoneal and retroperitoneal organs of the GI tract.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Understand the locations of major blood vessels in reference to each other and abdominal viscera.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Define the structures that penetrate the diaphragm.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potential locations of urolithiasis of kidneys and ureters in the retroperitoneal space.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01_anatomy-01_GI-embryo (105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37.1, 38.1, 39.1, 40.1, 41.1, 42.1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43.1, 44.1, 45.1, 46.1, 47.1, 48.1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49.1, 50.1, 51.1, 52.1, 53.1, 54.1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55.1, 56.1, 57.1, 58.1, 59.1, 60.1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61.1, 62.1, 63.1, 64.1, 65.1, 66.1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67.1, 68.1, 69.1, 70.1, 71.1, 72.1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73.1, 74.1, 75.1, 76.1, 77.1, 78.1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79.1, 80.1, 81.1, 82.1, 83.1, 84.1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85.1, 86.1, 87.1, 88.1, 89.1, 90.1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91.1, 92.1, 93.1, 94.1, 95.1, 96.1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97.1, 98.1, 99.1, 100.1, 101.1, 102.1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103.1, 104.1, 105.1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F3864"/>
          <w:sz w:val="24"/>
          <w:szCs w:val="24"/>
        </w:rPr>
        <w:t xml:space="preserve">Sketchy GI — </w:t>
      </w:r>
      <w:r>
        <w:rPr>
          <w:rFonts w:ascii="Arial" w:cs="Arial" w:eastAsia="Arial" w:hAnsi="Arial"/>
          <w:b/>
          <w:bCs/>
          <w:color w:val="2E75B6"/>
          <w:sz w:val="24"/>
          <w:szCs w:val="24"/>
        </w:rPr>
        <w:t xml:space="preserve">Pharmacology</w:t>
      </w:r>
    </w:p>
    <w:p>
      <w:pPr>
        <w:pBdr>
          <w:bottom w:val="single" w:color="2E75B6" w:sz="4" w:space="1"/>
        </w:pBdr>
        <w:spacing w:after="80" w:before="0"/>
      </w:pPr>
      <w:r>
        <w:rPr>
          <w:rFonts w:ascii="Arial" w:cs="Arial" w:eastAsia="Arial" w:hAnsi="Arial"/>
          <w:i/>
          <w:iCs/>
          <w:color w:val="8496A9"/>
          <w:sz w:val="16"/>
          <w:szCs w:val="16"/>
        </w:rPr>
        <w:t xml:space="preserve">Sketchy Pharm: 05_GI-01_GI-01 Antiemetics • GI-02 H2 Blockers • GI-03 Laxatives • GI-04 Antidiarrheals • GI-FA First Aid Summary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2540"/>
        <w:gridCol w:w="6940"/>
        <w:gridCol w:w="4000"/>
      </w:tblGrid>
      <w:tr>
        <w:trPr>
          <w:tblHeader/>
        </w:trPr>
        <w:tc>
          <w:tcPr>
            <w:tcW w:type="dxa" w:w="56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Class #</w:t>
            </w:r>
          </w:p>
        </w:tc>
        <w:tc>
          <w:tcPr>
            <w:tcW w:type="dxa" w:w="25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In-House Lecture</w:t>
            </w:r>
          </w:p>
        </w:tc>
        <w:tc>
          <w:tcPr>
            <w:tcW w:type="dxa" w:w="694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Learning Objectives</w:t>
            </w:r>
          </w:p>
        </w:tc>
        <w:tc>
          <w:tcPr>
            <w:tcW w:type="dxa" w:w="4000"/>
            <w:tcBorders>
              <w:top w:val="single" w:color="2E75B6" w:sz="1"/>
              <w:left w:val="single" w:color="2E75B6" w:sz="1"/>
              <w:bottom w:val="single" w:color="2E75B6" w:sz="1"/>
              <w:right w:val="single" w:color="2E75B6" w:sz="1"/>
            </w:tcBorders>
            <w:shd w:fill="2E75B6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Anki Card IDs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21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Poisoning Conferences &amp; Cases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Clancy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Clinical Toxicology &amp; GI Poisons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the primary source for epidemiological and demographic information about poison exposures in the United States.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substances associated with the greatest number of poison-related fatalities.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Take a relevant history when a poison exposure is thought to be the basis of a patient’s symptoms.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Identify patient presentations that should alert the clinician to the possibility of a poison exposure.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Order basic and toxicology-related laboratory studies appropriate for a patient’s history and/or presentation.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Select appropriate method(s) of decontamination.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rationale for using specific antidotes in GI poison exposure scenarios; identify antiemetic agents used in the management of poisoning-related nausea.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05_GI-01_GI-01-Antiemetic (37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</w:t>
            </w:r>
          </w:p>
        </w:tc>
      </w:tr>
      <w:tr>
        <w:tc>
          <w:tcPr>
            <w:tcW w:type="dxa" w:w="56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23 &amp; 24</w:t>
            </w:r>
          </w:p>
        </w:tc>
        <w:tc>
          <w:tcPr>
            <w:tcW w:type="dxa" w:w="25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1F6B75"/>
                <w:sz w:val="17"/>
                <w:szCs w:val="17"/>
              </w:rPr>
              <w:t xml:space="preserve">Pharmacology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1F3864"/>
                <w:sz w:val="17"/>
                <w:szCs w:val="17"/>
              </w:rPr>
              <w:t xml:space="preserve">Treatment of Peptic Ulcer Disease, GERD &amp; Other GI Disorders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color w:val="8496A9"/>
                <w:sz w:val="15"/>
                <w:szCs w:val="15"/>
              </w:rPr>
              <w:t xml:space="preserve">Dr. Mulroney</w:t>
            </w:r>
          </w:p>
        </w:tc>
        <w:tc>
          <w:tcPr>
            <w:tcW w:type="dxa" w:w="694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GI Pharmacology — Acid Reduction, Motility &amp; Bowel Agents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State the possible targets for control of gastric acid and the classes of drugs (and their mechanism of action) used at those sites.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Explain the use of triple or quadruple therapy in the treatment of H. pylori infections; name the drugs used.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physiological basis for GERD; explain the rationale and pharmacology for antacids in peptic ulcer disease and GERD.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Discuss the role of cytoprotection in the control of peptic ulcers; explain the pharmacology of cytoprotective agents (sucralfate, misoprostol).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mechanism of action, uses, and side effects of H2 receptor antagonists and proton pump inhibitors.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Describe the pharmacologic management of nausea/vomiting (antiemetics), constipation (laxatives), and diarrhea (antidiarrheals).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Arial" w:cs="Arial" w:eastAsia="Arial" w:hAnsi="Arial"/>
                <w:color w:val="000000"/>
                <w:sz w:val="16"/>
                <w:szCs w:val="16"/>
              </w:rPr>
              <w:t xml:space="preserve">List drug classes used in the management of IBD and IBS.</w:t>
            </w:r>
          </w:p>
        </w:tc>
        <w:tc>
          <w:tcPr>
            <w:tcW w:type="dxa" w:w="4000"/>
            <w:tcBorders>
              <w:top w:val="single" w:color="C0D0E0" w:sz="1"/>
              <w:left w:val="single" w:color="C0D0E0" w:sz="1"/>
              <w:bottom w:val="single" w:color="C0D0E0" w:sz="1"/>
              <w:right w:val="single" w:color="C0D0E0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70"/>
            </w:tcMar>
            <w:vAlign w:val="top"/>
          </w:tcPr>
          <w:p>
            <w:pPr>
              <w:spacing w:after="40" w:before="6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05_GI-01_GI-01-Antiemetic (37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25.1, 26.1, 27.1, 28.1, 29.1, 30.1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31.1, 32.1, 33.1, 34.1, 35.1, 36.1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37.1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05_GI-01_GI-02-H2_Receptor (22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05_GI-01_GI-03_Laxatives (21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05_GI-01_GI-04_Antidiarrheal (12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40" w:before="20"/>
            </w:pPr>
            <w:r>
              <w:rPr>
                <w:rFonts w:ascii="Arial" w:cs="Arial" w:eastAsia="Arial" w:hAnsi="Arial"/>
                <w:b/>
                <w:bCs/>
                <w:color w:val="1F3864"/>
                <w:sz w:val="16"/>
                <w:szCs w:val="16"/>
              </w:rPr>
              <w:t xml:space="preserve">05_GI-01_GI-FA (28 cards):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1.1, 2.1, 3.1, 4.1, 5.1, 6.1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7.1, 8.1, 9.1, 10.1, 11.1, 12.1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13.1, 14.1, 15.1, 16.1, 17.1, 18.1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19.1, 20.1, 21.1, 22.1, 23.1, 24.1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color w:val="7B5EA7"/>
                <w:sz w:val="16"/>
                <w:szCs w:val="16"/>
              </w:rPr>
              <w:t xml:space="preserve">25.1, 26.1, 27.1, 28.1</w:t>
            </w:r>
          </w:p>
        </w:tc>
      </w:tr>
    </w:tbl>
    <w:p>
      <w:pPr>
        <w:spacing w:after="300" w:before="0"/>
      </w:pPr>
      <w:r>
        <w:rPr>
          <w:rFonts w:ascii="Arial" w:cs="Arial" w:eastAsia="Arial" w:hAnsi="Arial"/>
          <w:color w:val="000000"/>
          <w:sz w:val="17"/>
          <w:szCs w:val="17"/>
        </w:rPr>
        <w:t xml:space="preserve"/>
      </w:r>
    </w:p>
    <w:sectPr>
      <w:pgSz w:w="15840" w:h="12240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360"/>
      </w:pPr>
    </w:lvl>
    <w:lvl w:ilvl="1" w15:tentative="1">
      <w:start w:val="1"/>
      <w:numFmt w:val="bullet"/>
      <w:lvlText w:val="○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2026-04-06T09:31:34.923Z</dcterms:created>
  <dcterms:modified xsi:type="dcterms:W3CDTF">2026-04-06T09:31:34.923Z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