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Gail</w:t>
      </w:r>
      <w:r>
        <w:t xml:space="preserve"> </w:t>
      </w:r>
      <w:r>
        <w:t xml:space="preserve">Clement</w:t>
      </w:r>
      <w:r>
        <w:t xml:space="preserve"> </w:t>
      </w:r>
      <w:r>
        <w:t xml:space="preserve">and</w:t>
      </w:r>
      <w:r>
        <w:t xml:space="preserve"> </w:t>
      </w:r>
      <w:r>
        <w:t xml:space="preserve">Tom</w:t>
      </w:r>
      <w:r>
        <w:t xml:space="preserve"> </w:t>
      </w:r>
      <w:r>
        <w:t xml:space="preserve">Morrell</w:t>
      </w:r>
    </w:p>
    <w:p>
      <w:pPr>
        <w:pStyle w:val="Date"/>
      </w:pPr>
      <w:r>
        <w:t xml:space="preserve">August</w:t>
      </w:r>
      <w:r>
        <w:t xml:space="preserve"> </w:t>
      </w:r>
      <w:r>
        <w:t xml:space="preserve">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introduction"/>
      <w:bookmarkEnd w:id="21"/>
      <w:r>
        <w:t xml:space="preserve">Introduction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Heading2"/>
      </w:pPr>
      <w:bookmarkStart w:id="22" w:name="purpose-of-this-study"/>
      <w:bookmarkEnd w:id="22"/>
      <w:r>
        <w:t xml:space="preserve">Purpose of this Study</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w:t>
      </w:r>
      <w:r>
        <w:t xml:space="preserve"> </w:t>
      </w:r>
      <w:r>
        <w:t xml:space="preserve">(2017)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w:t>
      </w:r>
      <w:r>
        <w:t xml:space="preserve"> </w:t>
      </w:r>
      <w:r>
        <w:t xml:space="preserve">(see for example, “Reproducible and Reusable Research: Are Journal Data Sharing Policies Meeting the Mark?” n.d.)</w:t>
      </w:r>
      <w:r>
        <w:t xml:space="preserve"> </w:t>
      </w:r>
      <w:r>
        <w:t xml:space="preserve">– may be skewed because of the authors’ rules of inclusion and exclusion.</w:t>
      </w:r>
      <w:r>
        <w:rPr>
          <w:rStyle w:val="FootnoteReference"/>
        </w:rPr>
        <w:footnoteReference w:id="23"/>
      </w:r>
      <w:r>
        <w:t xml:space="preserve"/>
      </w:r>
    </w:p>
    <w:p>
      <w:pPr>
        <w:pStyle w:val="Heading2"/>
      </w:pPr>
      <w:bookmarkStart w:id="24" w:name="methodology"/>
      <w:bookmarkEnd w:id="24"/>
      <w:r>
        <w:t xml:space="preserve">Methodology</w:t>
      </w:r>
    </w:p>
    <w:p>
      <w:pPr>
        <w:pStyle w:val="FirstParagraph"/>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5">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w:t>
      </w:r>
      <w:r>
        <w:t xml:space="preserve"> </w:t>
      </w:r>
      <w:r>
        <w:t xml:space="preserve">Castro et al. (2017)</w:t>
      </w:r>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id="1" name="Picture"/>
            <a:graphic>
              <a:graphicData uri="http://schemas.openxmlformats.org/drawingml/2006/picture">
                <pic:pic>
                  <pic:nvPicPr>
                    <pic:cNvPr descr="Base_2013_1_files/figure-docx/plot_country-1.png" id="0" name="Picture"/>
                    <pic:cNvPicPr>
                      <a:picLocks noChangeArrowheads="1" noChangeAspect="1"/>
                    </pic:cNvPicPr>
                  </pic:nvPicPr>
                  <pic:blipFill>
                    <a:blip r:embed="rId26"/>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27" w:name="results"/>
      <w:bookmarkEnd w:id="27"/>
      <w:r>
        <w:t xml:space="preserve">Results</w:t>
      </w:r>
    </w:p>
    <w:p>
      <w:pPr>
        <w:pStyle w:val="FirstParagraph"/>
      </w:pPr>
      <w:r>
        <w:drawing>
          <wp:inline>
            <wp:extent cx="5334000" cy="5867400"/>
            <wp:effectExtent b="0" l="0" r="0" t="0"/>
            <wp:docPr descr="" id="1" name="Picture"/>
            <a:graphic>
              <a:graphicData uri="http://schemas.openxmlformats.org/drawingml/2006/picture">
                <pic:pic>
                  <pic:nvPicPr>
                    <pic:cNvPr descr="Base_2013_1_files/figure-docx/plot_license-1.png" id="0" name="Picture"/>
                    <pic:cNvPicPr>
                      <a:picLocks noChangeArrowheads="1" noChangeAspect="1"/>
                    </pic:cNvPicPr>
                  </pic:nvPicPr>
                  <pic:blipFill>
                    <a:blip r:embed="rId28"/>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29" w:name="references"/>
      <w:bookmarkEnd w:id="29"/>
      <w:r>
        <w:t xml:space="preserve">References</w:t>
      </w:r>
    </w:p>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30">
        <w:r>
          <w:rPr>
            <w:rStyle w:val="Hyperlink"/>
          </w:rPr>
          <w:t xml:space="preserve">10.3138/jsp.49.1.66</w:t>
        </w:r>
      </w:hyperlink>
      <w:r>
        <w:t xml:space="preserve">.</w:t>
      </w:r>
    </w:p>
    <w:p>
      <w:pPr>
        <w:pStyle w:val="Bibliography"/>
      </w:pPr>
      <w:r>
        <w:t xml:space="preserve">“Reproducible and Reusable Research: Are Journal Data Sharing Policies Meeting the Mark?” n.d. 5. doi:</w:t>
      </w:r>
      <w:hyperlink r:id="rId31">
        <w:r>
          <w:rPr>
            <w:rStyle w:val="Hyperlink"/>
          </w:rPr>
          <w:t xml:space="preserve">10.7717/peerj.3208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the choice to exclude non_English language journals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d1b8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_rels/footnotes.xml.rels><?xml version="1.0" encoding="UTF-8"?>
<Relationships xmlns="http://schemas.openxmlformats.org/package/2006/relationships"><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Gail Clement and Tom Morrell</dc:creator>
  <dcterms:created xsi:type="dcterms:W3CDTF">2019-08-05T18:45:28Z</dcterms:created>
  <dcterms:modified xsi:type="dcterms:W3CDTF">2019-08-05T18:45:28Z</dcterms:modified>
</cp:coreProperties>
</file>