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C9" w:rsidRPr="00F700C9" w:rsidRDefault="00F700C9" w:rsidP="00F70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9"/>
        <w:gridCol w:w="801"/>
        <w:gridCol w:w="2668"/>
        <w:gridCol w:w="1117"/>
        <w:gridCol w:w="1117"/>
        <w:gridCol w:w="1117"/>
        <w:gridCol w:w="1117"/>
        <w:gridCol w:w="1117"/>
        <w:gridCol w:w="1117"/>
        <w:gridCol w:w="1233"/>
        <w:gridCol w:w="1117"/>
      </w:tblGrid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00C9" w:rsidRPr="00A135D8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Table 1: ALL Case Filings 2008 to 2018, by Case Filing Year and Age Group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5" w:type="dxa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11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Age </w:t>
            </w: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18-24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25-34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45-54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55-64</w:t>
            </w:r>
          </w:p>
        </w:tc>
        <w:tc>
          <w:tcPr>
            <w:tcW w:w="123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65 and up</w:t>
            </w:r>
          </w:p>
        </w:tc>
        <w:tc>
          <w:tcPr>
            <w:tcW w:w="11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of Case Filing</w:t>
            </w:r>
          </w:p>
        </w:tc>
        <w:tc>
          <w:tcPr>
            <w:tcW w:w="80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F700C9" w:rsidRPr="00624DD4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6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624DD4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12463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12918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8933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5858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12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41830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29.8%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30.9%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21.4%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14.0%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3.1%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11612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12096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8067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5716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1329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39221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29.6%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30.8%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20.6%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14.6%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3.4%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11183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11720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7352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5447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37673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29.7%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31.1%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19.5%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14.5%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4.2%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8433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9142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5652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4372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29181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28.9%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31.3%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19.4%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15.0%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4.5%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8955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10174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5833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4621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31471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28.5%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32.3%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18.5%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14.7%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4.9%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8641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10426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6035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4828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1758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31986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27.0%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32.6%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18.9%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15.1%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5.5%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7203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8908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5081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3891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1448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26838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26.8%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33.2%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18.9%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14.5%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5.4%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6622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8754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4503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3333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1277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24801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26.7%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35.3%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18.2%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13.4%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5.1%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5722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7909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4125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2736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22041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26.0%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35.9%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18.7%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5.5%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4995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7564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3982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2578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1189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20568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24.3%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36.8%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19.4%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12.5%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5.8%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3912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6412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3927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1164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18029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21.7%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35.6%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21.8%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13.2%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6.5%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700C9" w:rsidRPr="00A135D8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2008 to 2018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700C9" w:rsidRPr="00A2584B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89741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106023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63490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45757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15101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2674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323639</w:t>
            </w:r>
          </w:p>
        </w:tc>
      </w:tr>
      <w:tr w:rsidR="00F700C9" w:rsidRPr="00F700C9" w:rsidTr="00F70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27.7%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32.8%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19.6%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14.1%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4.7%</w:t>
            </w:r>
          </w:p>
        </w:tc>
        <w:tc>
          <w:tcPr>
            <w:tcW w:w="12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00C9" w:rsidRPr="00F700C9" w:rsidRDefault="00F700C9" w:rsidP="00F700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0C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F700C9" w:rsidRPr="00F700C9" w:rsidRDefault="00F700C9" w:rsidP="00F700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41CD" w:rsidRPr="004F41CD" w:rsidRDefault="004F41CD" w:rsidP="004F4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41CD" w:rsidRPr="004F41CD" w:rsidRDefault="004F41CD" w:rsidP="004F41C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2584B" w:rsidRDefault="00A2584B">
      <w:r>
        <w:br w:type="page"/>
      </w:r>
    </w:p>
    <w:p w:rsidR="004F41CD" w:rsidRPr="004F41CD" w:rsidRDefault="004F41CD" w:rsidP="004F41CD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</w:t>
      </w:r>
    </w:p>
    <w:tbl>
      <w:tblPr>
        <w:tblW w:w="14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9"/>
        <w:gridCol w:w="801"/>
        <w:gridCol w:w="2668"/>
        <w:gridCol w:w="1117"/>
        <w:gridCol w:w="1117"/>
        <w:gridCol w:w="1117"/>
        <w:gridCol w:w="1117"/>
        <w:gridCol w:w="1117"/>
        <w:gridCol w:w="1117"/>
        <w:gridCol w:w="1233"/>
        <w:gridCol w:w="1117"/>
      </w:tblGrid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41CD" w:rsidRPr="00A135D8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Table 2: FELONY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Case Filings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2008 to 2018, by Case Filing Year and Age Group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5" w:type="dxa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11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Age </w:t>
            </w: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18-24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25-34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45-54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55-64</w:t>
            </w:r>
          </w:p>
        </w:tc>
        <w:tc>
          <w:tcPr>
            <w:tcW w:w="123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65 and up</w:t>
            </w:r>
          </w:p>
        </w:tc>
        <w:tc>
          <w:tcPr>
            <w:tcW w:w="11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of Case Filing</w:t>
            </w:r>
          </w:p>
        </w:tc>
        <w:tc>
          <w:tcPr>
            <w:tcW w:w="80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4F41CD" w:rsidRPr="00624DD4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6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624DD4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1555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1501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1006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4739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32.8%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31.7%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21.2%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1340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1403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4433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31.6%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22.6%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11.5%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2.3%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1386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4262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32.5%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19.1%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12.6%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3.3%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0.4%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4031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28.6%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34.7%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19.1%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13.1%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2.9%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1283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1564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4371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29.4%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35.8%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17.0%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13.0%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3.2%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1409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1678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4644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36.1%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18.2%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3.3%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1457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4130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29.5%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35.3%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18.8%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11.6%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4.0%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1325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1753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4573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29.0%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38.3%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17.2%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3.2%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1240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1641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4481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27.7%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36.6%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19.8%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4.1%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1246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1840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4939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25.2%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37.3%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19.8%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12.3%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4.6%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1784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1197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4869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21.1%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36.6%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24.6%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12.1%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4.8%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F41CD" w:rsidRPr="00A135D8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2008 to 2018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1CD" w:rsidRPr="00A2584B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14088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17407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9801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5765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49472</w:t>
            </w:r>
          </w:p>
        </w:tc>
      </w:tr>
      <w:tr w:rsidR="004F41CD" w:rsidRPr="004F41CD" w:rsidTr="004F41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28.5%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35.2%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19.8%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11.7%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3.5%</w:t>
            </w:r>
          </w:p>
        </w:tc>
        <w:tc>
          <w:tcPr>
            <w:tcW w:w="12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F41CD" w:rsidRPr="004F41CD" w:rsidRDefault="004F41CD" w:rsidP="004F41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41C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4F41CD" w:rsidRPr="004F41CD" w:rsidRDefault="004F41CD" w:rsidP="004F41C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2584B" w:rsidRDefault="00A2584B" w:rsidP="004F41CD">
      <w:r>
        <w:br w:type="page"/>
      </w:r>
    </w:p>
    <w:p w:rsidR="007D6814" w:rsidRPr="007D6814" w:rsidRDefault="007D6814" w:rsidP="007D6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9"/>
        <w:gridCol w:w="801"/>
        <w:gridCol w:w="2668"/>
        <w:gridCol w:w="1117"/>
        <w:gridCol w:w="1117"/>
        <w:gridCol w:w="1117"/>
        <w:gridCol w:w="1117"/>
        <w:gridCol w:w="1117"/>
        <w:gridCol w:w="1117"/>
        <w:gridCol w:w="1233"/>
        <w:gridCol w:w="1117"/>
      </w:tblGrid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6814" w:rsidRPr="00A135D8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Table 3: GROSS MISDEMEANOR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Case Filings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2008 to 2018, by Case Filing Year and Age Group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5" w:type="dxa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11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Age </w:t>
            </w: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18-24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25-34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45-54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55-64</w:t>
            </w:r>
          </w:p>
        </w:tc>
        <w:tc>
          <w:tcPr>
            <w:tcW w:w="123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65 and up</w:t>
            </w:r>
          </w:p>
        </w:tc>
        <w:tc>
          <w:tcPr>
            <w:tcW w:w="11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of Case Filing</w:t>
            </w:r>
          </w:p>
        </w:tc>
        <w:tc>
          <w:tcPr>
            <w:tcW w:w="80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D6814" w:rsidRPr="00624DD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6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624DD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1103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1522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2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4419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34.4%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3.5%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1062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1457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948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4306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24.7%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33.8%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3.3%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1521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4294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23.6%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35.4%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3.3%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928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1544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4176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37.0%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4.4%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1703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4472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38.1%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4.1%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1823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977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4643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39.3%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4.5%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1659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4376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23.3%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37.9%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4.0%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1662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890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4276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38.9%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5.5%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956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1012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4699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40.5%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11.1%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5.7%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903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2026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1059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4895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41.4%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12.5%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4.5%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1547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3920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16.5%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39.5%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23.8%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5.6%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D6814" w:rsidRPr="00A135D8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2008 to 2018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10466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18368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10440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6620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48476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  <w:trHeight w:val="47"/>
        </w:trPr>
        <w:tc>
          <w:tcPr>
            <w:tcW w:w="272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21.6%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37.9%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21.5%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13.7%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4.4%</w:t>
            </w:r>
          </w:p>
        </w:tc>
        <w:tc>
          <w:tcPr>
            <w:tcW w:w="12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7D6814" w:rsidRPr="007D6814" w:rsidRDefault="007D6814" w:rsidP="007D68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2584B" w:rsidRDefault="00A2584B">
      <w:r>
        <w:br w:type="page"/>
      </w:r>
    </w:p>
    <w:p w:rsidR="007D6814" w:rsidRPr="007D6814" w:rsidRDefault="007D6814" w:rsidP="007D6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4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9"/>
        <w:gridCol w:w="801"/>
        <w:gridCol w:w="2668"/>
        <w:gridCol w:w="1117"/>
        <w:gridCol w:w="1117"/>
        <w:gridCol w:w="1117"/>
        <w:gridCol w:w="1117"/>
        <w:gridCol w:w="1117"/>
        <w:gridCol w:w="1117"/>
        <w:gridCol w:w="1233"/>
        <w:gridCol w:w="1117"/>
      </w:tblGrid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6814" w:rsidRPr="00A135D8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Table 4: MISDEMEANOR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Case Filings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2008 to 2018, by Case Filing Year and Age Group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5" w:type="dxa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11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D76C6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Age </w:t>
            </w:r>
            <w:r w:rsidRPr="00D76C64"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D76C6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6C64">
              <w:rPr>
                <w:rFonts w:ascii="Arial" w:hAnsi="Arial" w:cs="Arial"/>
                <w:color w:val="000000"/>
                <w:sz w:val="18"/>
                <w:szCs w:val="18"/>
              </w:rPr>
              <w:t>18-24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D76C6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6C64">
              <w:rPr>
                <w:rFonts w:ascii="Arial" w:hAnsi="Arial" w:cs="Arial"/>
                <w:color w:val="000000"/>
                <w:sz w:val="18"/>
                <w:szCs w:val="18"/>
              </w:rPr>
              <w:t>25-34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D76C6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6C64">
              <w:rPr>
                <w:rFonts w:ascii="Arial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D76C6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6C64">
              <w:rPr>
                <w:rFonts w:ascii="Arial" w:hAnsi="Arial" w:cs="Arial"/>
                <w:color w:val="000000"/>
                <w:sz w:val="18"/>
                <w:szCs w:val="18"/>
              </w:rPr>
              <w:t>45-54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D76C6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6C64">
              <w:rPr>
                <w:rFonts w:ascii="Arial" w:hAnsi="Arial" w:cs="Arial"/>
                <w:color w:val="000000"/>
                <w:sz w:val="18"/>
                <w:szCs w:val="18"/>
              </w:rPr>
              <w:t>55-64</w:t>
            </w:r>
          </w:p>
        </w:tc>
        <w:tc>
          <w:tcPr>
            <w:tcW w:w="123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D6814" w:rsidRPr="00D76C6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6C64">
              <w:rPr>
                <w:rFonts w:ascii="Arial" w:hAnsi="Arial" w:cs="Arial"/>
                <w:color w:val="000000"/>
                <w:sz w:val="18"/>
                <w:szCs w:val="18"/>
              </w:rPr>
              <w:t>65 and up</w:t>
            </w:r>
          </w:p>
        </w:tc>
        <w:tc>
          <w:tcPr>
            <w:tcW w:w="11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of Case Filing</w:t>
            </w:r>
          </w:p>
        </w:tc>
        <w:tc>
          <w:tcPr>
            <w:tcW w:w="80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D6814" w:rsidRPr="00624DD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6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624DD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9805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9895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6978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4709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12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32672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3.2%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9210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9236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6115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4546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1084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30482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3.6%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8879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8813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5577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4294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1306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29117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19.2%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4.5%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6351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6198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4045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3184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20974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29.6%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19.3%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4.8%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6668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6907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4128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3459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22628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29.5%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5.4%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6272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6925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4215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3703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1395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22699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27.6%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16.3%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6.1%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4966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5792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3392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2841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1108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18332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27.1%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31.6%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6.0%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4427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5339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2827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2260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894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15952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27.8%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33.5%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17.7%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5.6%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3526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4364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2227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1743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12861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27.4%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33.9%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17.3%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13.6%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5.9%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2846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3698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1947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10734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26.5%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34.5%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18.1%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12.7%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6.9%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2237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3081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1798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1273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9240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24.2%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19.5%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117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233" w:type="dxa"/>
            <w:tcBorders>
              <w:top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1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D6814" w:rsidRPr="00A135D8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2008 to 2018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6814" w:rsidRPr="00A2584B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584B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65187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70248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43249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33372</w:t>
            </w:r>
          </w:p>
        </w:tc>
        <w:tc>
          <w:tcPr>
            <w:tcW w:w="11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11261</w:t>
            </w:r>
          </w:p>
        </w:tc>
        <w:tc>
          <w:tcPr>
            <w:tcW w:w="12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2040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225691</w:t>
            </w:r>
          </w:p>
        </w:tc>
      </w:tr>
      <w:tr w:rsidR="007D6814" w:rsidRPr="007D6814" w:rsidTr="007D68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1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28.9%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31.1%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19.2%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14.8%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5.0%</w:t>
            </w:r>
          </w:p>
        </w:tc>
        <w:tc>
          <w:tcPr>
            <w:tcW w:w="12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D6814" w:rsidRPr="007D6814" w:rsidRDefault="007D6814" w:rsidP="007D68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68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7D6814" w:rsidRPr="007D6814" w:rsidRDefault="007D6814" w:rsidP="007D68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D6814" w:rsidRDefault="007D6814"/>
    <w:sectPr w:rsidR="007D6814" w:rsidSect="00A2584B">
      <w:pgSz w:w="1740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4B"/>
    <w:rsid w:val="00053EE3"/>
    <w:rsid w:val="003D154C"/>
    <w:rsid w:val="004F41CD"/>
    <w:rsid w:val="007D6814"/>
    <w:rsid w:val="00A2584B"/>
    <w:rsid w:val="00D35F0C"/>
    <w:rsid w:val="00D76C64"/>
    <w:rsid w:val="00F7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A57A-C437-4095-84DC-25D55037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Judicial Branch</Company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Matthew</dc:creator>
  <cp:keywords/>
  <dc:description/>
  <cp:lastModifiedBy>Johnson, Matthew</cp:lastModifiedBy>
  <cp:revision>4</cp:revision>
  <dcterms:created xsi:type="dcterms:W3CDTF">2019-01-28T19:49:00Z</dcterms:created>
  <dcterms:modified xsi:type="dcterms:W3CDTF">2019-01-28T21:55:00Z</dcterms:modified>
</cp:coreProperties>
</file>