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074" w:rsidRPr="0031228C" w:rsidRDefault="00B72074" w:rsidP="00B72074">
      <w:pPr>
        <w:tabs>
          <w:tab w:val="left" w:pos="360"/>
        </w:tabs>
        <w:spacing w:after="0" w:line="240" w:lineRule="auto"/>
        <w:rPr>
          <w:b/>
          <w:sz w:val="28"/>
          <w:szCs w:val="28"/>
          <w:u w:val="single"/>
        </w:rPr>
      </w:pPr>
      <w:bookmarkStart w:id="0" w:name="_GoBack"/>
      <w:bookmarkEnd w:id="0"/>
      <w:r w:rsidRPr="0031228C">
        <w:rPr>
          <w:b/>
          <w:sz w:val="28"/>
          <w:szCs w:val="28"/>
          <w:u w:val="single"/>
        </w:rPr>
        <w:t>Number of Payday Loans</w:t>
      </w:r>
    </w:p>
    <w:p w:rsidR="00B72074" w:rsidRPr="00A376B8" w:rsidRDefault="00B72074" w:rsidP="00B72074">
      <w:pPr>
        <w:spacing w:after="0" w:line="240" w:lineRule="auto"/>
        <w:rPr>
          <w:sz w:val="24"/>
          <w:szCs w:val="24"/>
        </w:rPr>
      </w:pPr>
    </w:p>
    <w:p w:rsidR="00B72074" w:rsidRPr="00661BD0" w:rsidRDefault="00B72074" w:rsidP="00B72074">
      <w:pPr>
        <w:pStyle w:val="ListParagraph"/>
        <w:numPr>
          <w:ilvl w:val="0"/>
          <w:numId w:val="1"/>
        </w:numPr>
        <w:spacing w:after="0" w:line="240" w:lineRule="auto"/>
        <w:ind w:right="-630"/>
        <w:rPr>
          <w:sz w:val="24"/>
          <w:szCs w:val="24"/>
        </w:rPr>
      </w:pPr>
      <w:r w:rsidRPr="00661BD0">
        <w:rPr>
          <w:sz w:val="24"/>
          <w:szCs w:val="24"/>
        </w:rPr>
        <w:t xml:space="preserve">In 2014, the annual number of </w:t>
      </w:r>
      <w:r>
        <w:rPr>
          <w:sz w:val="24"/>
          <w:szCs w:val="24"/>
        </w:rPr>
        <w:t xml:space="preserve">reported </w:t>
      </w:r>
      <w:r w:rsidRPr="00661BD0">
        <w:rPr>
          <w:sz w:val="24"/>
          <w:szCs w:val="24"/>
        </w:rPr>
        <w:t xml:space="preserve">payday loans in Minnesota </w:t>
      </w:r>
      <w:r>
        <w:rPr>
          <w:sz w:val="24"/>
          <w:szCs w:val="24"/>
        </w:rPr>
        <w:t xml:space="preserve">was </w:t>
      </w:r>
      <w:r w:rsidRPr="00661BD0">
        <w:rPr>
          <w:b/>
          <w:sz w:val="24"/>
          <w:szCs w:val="24"/>
        </w:rPr>
        <w:t>385,681.</w:t>
      </w:r>
    </w:p>
    <w:p w:rsidR="00B72074" w:rsidRDefault="00B72074" w:rsidP="00B72074">
      <w:pPr>
        <w:spacing w:after="0" w:line="240" w:lineRule="auto"/>
        <w:ind w:firstLine="720"/>
        <w:rPr>
          <w:i/>
          <w:sz w:val="24"/>
          <w:szCs w:val="24"/>
          <w:u w:val="single"/>
        </w:rPr>
      </w:pPr>
    </w:p>
    <w:p w:rsidR="00B72074" w:rsidRPr="00661BD0" w:rsidRDefault="00B72074" w:rsidP="00B72074">
      <w:pPr>
        <w:pStyle w:val="ListParagraph"/>
        <w:numPr>
          <w:ilvl w:val="0"/>
          <w:numId w:val="1"/>
        </w:numPr>
        <w:spacing w:after="0" w:line="240" w:lineRule="auto"/>
        <w:ind w:left="360" w:firstLine="0"/>
        <w:rPr>
          <w:rFonts w:eastAsia="Times New Roman" w:cs="Times New Roman"/>
          <w:color w:val="000000"/>
          <w:sz w:val="24"/>
          <w:szCs w:val="24"/>
        </w:rPr>
      </w:pPr>
      <w:r>
        <w:rPr>
          <w:sz w:val="24"/>
          <w:szCs w:val="24"/>
        </w:rPr>
        <w:t>Cumulatively, s</w:t>
      </w:r>
      <w:r w:rsidRPr="00661BD0">
        <w:rPr>
          <w:sz w:val="24"/>
          <w:szCs w:val="24"/>
        </w:rPr>
        <w:t xml:space="preserve">ince 1999, a total of </w:t>
      </w:r>
      <w:r w:rsidRPr="00661BD0">
        <w:rPr>
          <w:rFonts w:eastAsia="Times New Roman" w:cs="Times New Roman"/>
          <w:b/>
          <w:color w:val="000000"/>
          <w:sz w:val="24"/>
          <w:szCs w:val="24"/>
        </w:rPr>
        <w:t>3,515,786</w:t>
      </w:r>
      <w:r>
        <w:rPr>
          <w:rFonts w:eastAsia="Times New Roman" w:cs="Times New Roman"/>
          <w:color w:val="000000"/>
          <w:sz w:val="24"/>
          <w:szCs w:val="24"/>
        </w:rPr>
        <w:t xml:space="preserve"> of payday loans have been reported.  </w:t>
      </w:r>
    </w:p>
    <w:p w:rsidR="00B72074" w:rsidRDefault="00B72074" w:rsidP="00B72074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:rsidR="00B72074" w:rsidRDefault="00B72074" w:rsidP="00B72074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Number of Reported Payday Loans - By Year</w:t>
      </w:r>
    </w:p>
    <w:p w:rsidR="00B72074" w:rsidRDefault="00B72074" w:rsidP="00B72074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1999 – 2014</w:t>
      </w:r>
      <w:r>
        <w:rPr>
          <w:rFonts w:cs="Times New Roman"/>
          <w:noProof/>
          <w:sz w:val="24"/>
          <w:szCs w:val="24"/>
        </w:rPr>
        <w:drawing>
          <wp:inline distT="0" distB="0" distL="0" distR="0" wp14:anchorId="749964A8" wp14:editId="3BB77612">
            <wp:extent cx="5379124" cy="3984537"/>
            <wp:effectExtent l="0" t="0" r="12065" b="165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72074" w:rsidRDefault="00B72074" w:rsidP="00B72074">
      <w:pPr>
        <w:spacing w:after="0" w:line="480" w:lineRule="auto"/>
        <w:rPr>
          <w:rFonts w:cs="Times New Roman"/>
          <w:i/>
          <w:sz w:val="24"/>
          <w:szCs w:val="24"/>
          <w:u w:val="single"/>
        </w:rPr>
      </w:pPr>
    </w:p>
    <w:p w:rsidR="00B72074" w:rsidRDefault="00B72074" w:rsidP="00B72074">
      <w:pPr>
        <w:spacing w:after="0" w:line="480" w:lineRule="auto"/>
        <w:rPr>
          <w:rFonts w:cs="Times New Roman"/>
          <w:i/>
          <w:sz w:val="24"/>
          <w:szCs w:val="24"/>
          <w:u w:val="single"/>
        </w:rPr>
      </w:pPr>
    </w:p>
    <w:p w:rsidR="00B72074" w:rsidRDefault="00B72074" w:rsidP="00B72074">
      <w:pPr>
        <w:spacing w:after="0" w:line="480" w:lineRule="auto"/>
        <w:rPr>
          <w:rFonts w:cs="Times New Roman"/>
          <w:i/>
          <w:sz w:val="24"/>
          <w:szCs w:val="24"/>
          <w:u w:val="single"/>
        </w:rPr>
      </w:pPr>
    </w:p>
    <w:p w:rsidR="00B72074" w:rsidRDefault="00B72074" w:rsidP="00B72074">
      <w:pPr>
        <w:spacing w:after="0" w:line="480" w:lineRule="auto"/>
        <w:rPr>
          <w:rFonts w:cs="Times New Roman"/>
          <w:i/>
          <w:sz w:val="24"/>
          <w:szCs w:val="24"/>
          <w:u w:val="single"/>
        </w:rPr>
      </w:pPr>
    </w:p>
    <w:p w:rsidR="00B72074" w:rsidRDefault="00B72074" w:rsidP="00B72074">
      <w:pPr>
        <w:spacing w:after="0" w:line="480" w:lineRule="auto"/>
        <w:rPr>
          <w:rFonts w:cs="Times New Roman"/>
          <w:i/>
          <w:sz w:val="24"/>
          <w:szCs w:val="24"/>
          <w:u w:val="single"/>
        </w:rPr>
      </w:pPr>
    </w:p>
    <w:p w:rsidR="00B72074" w:rsidRDefault="00B72074" w:rsidP="00B72074">
      <w:pPr>
        <w:spacing w:after="0" w:line="480" w:lineRule="auto"/>
        <w:rPr>
          <w:rFonts w:cs="Times New Roman"/>
          <w:i/>
          <w:sz w:val="24"/>
          <w:szCs w:val="24"/>
          <w:u w:val="single"/>
        </w:rPr>
      </w:pPr>
    </w:p>
    <w:p w:rsidR="00B72074" w:rsidRDefault="00B72074" w:rsidP="00B72074">
      <w:pPr>
        <w:spacing w:after="0" w:line="480" w:lineRule="auto"/>
        <w:rPr>
          <w:rFonts w:cs="Times New Roman"/>
          <w:i/>
          <w:sz w:val="24"/>
          <w:szCs w:val="24"/>
          <w:u w:val="single"/>
        </w:rPr>
      </w:pPr>
    </w:p>
    <w:p w:rsidR="00B72074" w:rsidRPr="00104731" w:rsidRDefault="00B72074" w:rsidP="00B72074">
      <w:pPr>
        <w:tabs>
          <w:tab w:val="left" w:pos="360"/>
        </w:tabs>
        <w:rPr>
          <w:b/>
          <w:sz w:val="28"/>
          <w:szCs w:val="28"/>
          <w:u w:val="single"/>
        </w:rPr>
      </w:pPr>
      <w:r w:rsidRPr="00104731">
        <w:rPr>
          <w:b/>
          <w:sz w:val="28"/>
          <w:szCs w:val="28"/>
          <w:u w:val="single"/>
        </w:rPr>
        <w:lastRenderedPageBreak/>
        <w:t>Loans by Region</w:t>
      </w:r>
    </w:p>
    <w:p w:rsidR="00B72074" w:rsidRPr="004A15FB" w:rsidRDefault="00B72074" w:rsidP="00B72074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Since 1999, payday loans in suburban Minnesota comprised </w:t>
      </w:r>
      <w:r>
        <w:rPr>
          <w:rFonts w:cs="Times New Roman"/>
          <w:b/>
          <w:sz w:val="24"/>
          <w:szCs w:val="24"/>
        </w:rPr>
        <w:t>nearly 50%</w:t>
      </w:r>
      <w:r>
        <w:rPr>
          <w:rFonts w:cs="Times New Roman"/>
          <w:sz w:val="24"/>
          <w:szCs w:val="24"/>
        </w:rPr>
        <w:t xml:space="preserve"> of all payday loans.</w:t>
      </w:r>
    </w:p>
    <w:p w:rsidR="00B72074" w:rsidRDefault="00B72074" w:rsidP="00B72074">
      <w:pPr>
        <w:spacing w:after="0" w:line="240" w:lineRule="auto"/>
        <w:rPr>
          <w:rFonts w:cs="Times New Roman"/>
          <w:i/>
          <w:sz w:val="24"/>
          <w:szCs w:val="24"/>
        </w:rPr>
      </w:pPr>
    </w:p>
    <w:p w:rsidR="00B72074" w:rsidRPr="007847F0" w:rsidRDefault="00B72074" w:rsidP="00B72074">
      <w:pPr>
        <w:spacing w:after="0" w:line="240" w:lineRule="auto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7847F0">
        <w:rPr>
          <w:rFonts w:cs="Times New Roman"/>
          <w:i/>
          <w:sz w:val="24"/>
          <w:szCs w:val="24"/>
        </w:rPr>
        <w:t>Suburban:</w:t>
      </w:r>
      <w:r w:rsidRPr="007847F0">
        <w:rPr>
          <w:rFonts w:cs="Times New Roman"/>
          <w:i/>
          <w:sz w:val="24"/>
          <w:szCs w:val="24"/>
        </w:rPr>
        <w:tab/>
      </w:r>
      <w:r w:rsidRPr="007847F0">
        <w:rPr>
          <w:rFonts w:cs="Times New Roman"/>
          <w:i/>
          <w:sz w:val="24"/>
          <w:szCs w:val="24"/>
        </w:rPr>
        <w:tab/>
      </w:r>
      <w:r w:rsidRPr="007847F0">
        <w:rPr>
          <w:rFonts w:cs="Times New Roman"/>
          <w:i/>
          <w:sz w:val="24"/>
          <w:szCs w:val="24"/>
        </w:rPr>
        <w:tab/>
        <w:t>1,679,506 (48%)</w:t>
      </w:r>
    </w:p>
    <w:p w:rsidR="00B72074" w:rsidRPr="007847F0" w:rsidRDefault="00B72074" w:rsidP="00B72074">
      <w:pPr>
        <w:spacing w:after="0" w:line="240" w:lineRule="auto"/>
        <w:rPr>
          <w:rFonts w:cs="Times New Roman"/>
          <w:i/>
          <w:sz w:val="24"/>
          <w:szCs w:val="24"/>
        </w:rPr>
      </w:pPr>
      <w:r w:rsidRPr="007847F0">
        <w:rPr>
          <w:rFonts w:cs="Times New Roman"/>
          <w:i/>
          <w:sz w:val="24"/>
          <w:szCs w:val="24"/>
        </w:rPr>
        <w:tab/>
      </w:r>
      <w:r w:rsidRPr="007847F0">
        <w:rPr>
          <w:rFonts w:cs="Times New Roman"/>
          <w:i/>
          <w:sz w:val="24"/>
          <w:szCs w:val="24"/>
        </w:rPr>
        <w:tab/>
        <w:t>Rural:</w:t>
      </w:r>
      <w:r w:rsidRPr="007847F0">
        <w:rPr>
          <w:rFonts w:cs="Times New Roman"/>
          <w:i/>
          <w:sz w:val="24"/>
          <w:szCs w:val="24"/>
        </w:rPr>
        <w:tab/>
      </w:r>
      <w:r w:rsidRPr="007847F0">
        <w:rPr>
          <w:rFonts w:cs="Times New Roman"/>
          <w:i/>
          <w:sz w:val="24"/>
          <w:szCs w:val="24"/>
        </w:rPr>
        <w:tab/>
      </w:r>
      <w:r w:rsidRPr="007847F0">
        <w:rPr>
          <w:rFonts w:cs="Times New Roman"/>
          <w:i/>
          <w:sz w:val="24"/>
          <w:szCs w:val="24"/>
        </w:rPr>
        <w:tab/>
      </w:r>
      <w:r w:rsidRPr="007847F0">
        <w:rPr>
          <w:rFonts w:cs="Times New Roman"/>
          <w:i/>
          <w:sz w:val="24"/>
          <w:szCs w:val="24"/>
        </w:rPr>
        <w:tab/>
        <w:t xml:space="preserve">   943,005 (27%)</w:t>
      </w:r>
    </w:p>
    <w:p w:rsidR="00B72074" w:rsidRPr="007847F0" w:rsidRDefault="00B72074" w:rsidP="00B72074">
      <w:pPr>
        <w:spacing w:after="0" w:line="240" w:lineRule="auto"/>
        <w:rPr>
          <w:rFonts w:cs="Times New Roman"/>
          <w:i/>
          <w:sz w:val="24"/>
          <w:szCs w:val="24"/>
        </w:rPr>
      </w:pPr>
      <w:r w:rsidRPr="007847F0">
        <w:rPr>
          <w:rFonts w:cs="Times New Roman"/>
          <w:i/>
          <w:sz w:val="24"/>
          <w:szCs w:val="24"/>
        </w:rPr>
        <w:tab/>
      </w:r>
      <w:r w:rsidRPr="007847F0">
        <w:rPr>
          <w:rFonts w:cs="Times New Roman"/>
          <w:i/>
          <w:sz w:val="24"/>
          <w:szCs w:val="24"/>
        </w:rPr>
        <w:tab/>
        <w:t>Minneapolis/St. Paul:</w:t>
      </w:r>
      <w:r w:rsidRPr="007847F0">
        <w:rPr>
          <w:rFonts w:cs="Times New Roman"/>
          <w:i/>
          <w:sz w:val="24"/>
          <w:szCs w:val="24"/>
        </w:rPr>
        <w:tab/>
      </w:r>
      <w:r w:rsidRPr="007847F0">
        <w:rPr>
          <w:rFonts w:cs="Times New Roman"/>
          <w:i/>
          <w:sz w:val="24"/>
          <w:szCs w:val="24"/>
        </w:rPr>
        <w:tab/>
        <w:t xml:space="preserve">   544,765 (15%)</w:t>
      </w:r>
    </w:p>
    <w:p w:rsidR="00B72074" w:rsidRPr="007847F0" w:rsidRDefault="00B72074" w:rsidP="00B72074">
      <w:pPr>
        <w:spacing w:after="0" w:line="240" w:lineRule="auto"/>
        <w:ind w:left="720" w:firstLine="720"/>
        <w:rPr>
          <w:rFonts w:cs="Times New Roman"/>
          <w:i/>
          <w:sz w:val="24"/>
          <w:szCs w:val="24"/>
        </w:rPr>
      </w:pPr>
      <w:r w:rsidRPr="007847F0">
        <w:rPr>
          <w:rFonts w:cs="Times New Roman"/>
          <w:i/>
          <w:sz w:val="24"/>
          <w:szCs w:val="24"/>
        </w:rPr>
        <w:t>Internet:</w:t>
      </w:r>
      <w:r w:rsidRPr="007847F0">
        <w:rPr>
          <w:rFonts w:cs="Times New Roman"/>
          <w:i/>
          <w:sz w:val="24"/>
          <w:szCs w:val="24"/>
        </w:rPr>
        <w:tab/>
      </w:r>
      <w:r w:rsidRPr="007847F0">
        <w:rPr>
          <w:rFonts w:cs="Times New Roman"/>
          <w:i/>
          <w:sz w:val="24"/>
          <w:szCs w:val="24"/>
        </w:rPr>
        <w:tab/>
      </w:r>
      <w:r w:rsidRPr="007847F0">
        <w:rPr>
          <w:rFonts w:cs="Times New Roman"/>
          <w:i/>
          <w:sz w:val="24"/>
          <w:szCs w:val="24"/>
        </w:rPr>
        <w:tab/>
        <w:t xml:space="preserve">   348,510 (10%)</w:t>
      </w:r>
    </w:p>
    <w:p w:rsidR="00B72074" w:rsidRDefault="00B72074" w:rsidP="00B72074">
      <w:pPr>
        <w:spacing w:after="0" w:line="480" w:lineRule="auto"/>
        <w:rPr>
          <w:rFonts w:cs="Times New Roman"/>
          <w:i/>
          <w:sz w:val="24"/>
          <w:szCs w:val="24"/>
          <w:u w:val="single"/>
        </w:rPr>
      </w:pPr>
    </w:p>
    <w:p w:rsidR="00B72074" w:rsidRPr="009C1087" w:rsidRDefault="00B72074" w:rsidP="00B72074">
      <w:pPr>
        <w:spacing w:after="0" w:line="480" w:lineRule="auto"/>
        <w:ind w:left="990"/>
        <w:rPr>
          <w:rFonts w:cs="Times New Roman"/>
          <w:sz w:val="24"/>
          <w:szCs w:val="24"/>
        </w:rPr>
      </w:pPr>
      <w:r w:rsidRPr="00CC242C">
        <w:rPr>
          <w:rFonts w:cs="Times New Roman"/>
          <w:noProof/>
          <w:sz w:val="24"/>
          <w:szCs w:val="24"/>
        </w:rPr>
        <w:drawing>
          <wp:inline distT="0" distB="0" distL="0" distR="0" wp14:anchorId="37FE3569" wp14:editId="2E53DD47">
            <wp:extent cx="4628099" cy="3141497"/>
            <wp:effectExtent l="0" t="0" r="20320" b="2095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72074" w:rsidRDefault="00B72074" w:rsidP="00B72074">
      <w:pPr>
        <w:spacing w:after="0" w:line="480" w:lineRule="auto"/>
        <w:jc w:val="center"/>
        <w:rPr>
          <w:rFonts w:cs="Times New Roman"/>
          <w:sz w:val="24"/>
          <w:szCs w:val="24"/>
          <w:u w:val="single"/>
        </w:rPr>
      </w:pPr>
    </w:p>
    <w:p w:rsidR="00B72074" w:rsidRDefault="00B72074" w:rsidP="00B72074">
      <w:pPr>
        <w:spacing w:after="0" w:line="480" w:lineRule="auto"/>
        <w:jc w:val="center"/>
        <w:rPr>
          <w:rFonts w:cs="Times New Roman"/>
          <w:sz w:val="24"/>
          <w:szCs w:val="24"/>
          <w:u w:val="single"/>
        </w:rPr>
      </w:pPr>
    </w:p>
    <w:p w:rsidR="00B72074" w:rsidRDefault="00B72074" w:rsidP="00B72074">
      <w:pPr>
        <w:spacing w:after="0" w:line="480" w:lineRule="auto"/>
        <w:jc w:val="center"/>
        <w:rPr>
          <w:rFonts w:cs="Times New Roman"/>
          <w:sz w:val="24"/>
          <w:szCs w:val="24"/>
          <w:u w:val="single"/>
        </w:rPr>
      </w:pPr>
    </w:p>
    <w:p w:rsidR="00B72074" w:rsidRDefault="00B72074" w:rsidP="00B72074">
      <w:pPr>
        <w:spacing w:after="0" w:line="480" w:lineRule="auto"/>
        <w:jc w:val="center"/>
        <w:rPr>
          <w:rFonts w:cs="Times New Roman"/>
          <w:sz w:val="24"/>
          <w:szCs w:val="24"/>
          <w:u w:val="single"/>
        </w:rPr>
      </w:pPr>
    </w:p>
    <w:p w:rsidR="00B72074" w:rsidRDefault="00B72074" w:rsidP="00B72074">
      <w:pPr>
        <w:spacing w:after="0" w:line="480" w:lineRule="auto"/>
        <w:jc w:val="center"/>
        <w:rPr>
          <w:rFonts w:cs="Times New Roman"/>
          <w:sz w:val="24"/>
          <w:szCs w:val="24"/>
          <w:u w:val="single"/>
        </w:rPr>
      </w:pPr>
    </w:p>
    <w:p w:rsidR="00B72074" w:rsidRDefault="00B72074" w:rsidP="00B72074">
      <w:pPr>
        <w:tabs>
          <w:tab w:val="left" w:pos="360"/>
        </w:tabs>
        <w:rPr>
          <w:sz w:val="28"/>
          <w:szCs w:val="28"/>
        </w:rPr>
      </w:pPr>
    </w:p>
    <w:p w:rsidR="00B72074" w:rsidRDefault="00B72074" w:rsidP="00B72074">
      <w:pPr>
        <w:tabs>
          <w:tab w:val="left" w:pos="360"/>
        </w:tabs>
        <w:rPr>
          <w:sz w:val="28"/>
          <w:szCs w:val="28"/>
        </w:rPr>
      </w:pPr>
    </w:p>
    <w:p w:rsidR="00B72074" w:rsidRPr="0031228C" w:rsidRDefault="00B72074" w:rsidP="00B72074">
      <w:pPr>
        <w:tabs>
          <w:tab w:val="left" w:pos="360"/>
        </w:tabs>
        <w:spacing w:after="0" w:line="240" w:lineRule="auto"/>
        <w:rPr>
          <w:b/>
          <w:sz w:val="28"/>
          <w:szCs w:val="28"/>
        </w:rPr>
      </w:pPr>
      <w:r w:rsidRPr="0031228C">
        <w:rPr>
          <w:b/>
          <w:sz w:val="28"/>
          <w:szCs w:val="28"/>
          <w:u w:val="single"/>
        </w:rPr>
        <w:lastRenderedPageBreak/>
        <w:t>Average Loan Amount</w:t>
      </w:r>
    </w:p>
    <w:p w:rsidR="00B72074" w:rsidRDefault="00B72074" w:rsidP="00B72074">
      <w:pPr>
        <w:spacing w:after="0" w:line="240" w:lineRule="auto"/>
        <w:rPr>
          <w:sz w:val="24"/>
          <w:szCs w:val="24"/>
        </w:rPr>
      </w:pPr>
    </w:p>
    <w:p w:rsidR="00B72074" w:rsidRPr="00B72074" w:rsidRDefault="00B72074" w:rsidP="00B72074">
      <w:pPr>
        <w:pStyle w:val="ListParagraph"/>
        <w:numPr>
          <w:ilvl w:val="0"/>
          <w:numId w:val="1"/>
        </w:numPr>
        <w:spacing w:after="0" w:line="240" w:lineRule="auto"/>
        <w:ind w:left="1080" w:right="90"/>
        <w:rPr>
          <w:i/>
          <w:sz w:val="24"/>
          <w:szCs w:val="24"/>
          <w:u w:val="single"/>
        </w:rPr>
      </w:pPr>
      <w:r w:rsidRPr="00B72074">
        <w:rPr>
          <w:sz w:val="24"/>
          <w:szCs w:val="24"/>
        </w:rPr>
        <w:t xml:space="preserve">In 2014, the average payday loan amount in Minnesota was </w:t>
      </w:r>
      <w:r w:rsidRPr="00B72074">
        <w:rPr>
          <w:b/>
          <w:sz w:val="24"/>
          <w:szCs w:val="24"/>
        </w:rPr>
        <w:t>$389</w:t>
      </w:r>
      <w:r>
        <w:rPr>
          <w:b/>
          <w:sz w:val="24"/>
          <w:szCs w:val="24"/>
        </w:rPr>
        <w:t>.</w:t>
      </w:r>
    </w:p>
    <w:p w:rsidR="00B72074" w:rsidRPr="00B72074" w:rsidRDefault="00B72074" w:rsidP="00B72074">
      <w:pPr>
        <w:pStyle w:val="ListParagraph"/>
        <w:spacing w:after="0" w:line="240" w:lineRule="auto"/>
        <w:ind w:left="1080" w:right="90"/>
        <w:rPr>
          <w:i/>
          <w:sz w:val="24"/>
          <w:szCs w:val="24"/>
          <w:u w:val="single"/>
        </w:rPr>
      </w:pPr>
    </w:p>
    <w:p w:rsidR="00B72074" w:rsidRPr="00661BD0" w:rsidRDefault="00B72074" w:rsidP="00B72074">
      <w:pPr>
        <w:pStyle w:val="ListParagraph"/>
        <w:numPr>
          <w:ilvl w:val="0"/>
          <w:numId w:val="1"/>
        </w:numPr>
        <w:spacing w:after="0" w:line="240" w:lineRule="auto"/>
        <w:ind w:left="1080" w:right="90"/>
        <w:rPr>
          <w:sz w:val="24"/>
          <w:szCs w:val="24"/>
        </w:rPr>
      </w:pPr>
      <w:r>
        <w:rPr>
          <w:sz w:val="24"/>
          <w:szCs w:val="24"/>
        </w:rPr>
        <w:t>Cumulatively</w:t>
      </w:r>
      <w:r w:rsidRPr="00661BD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since 1999, </w:t>
      </w:r>
      <w:r w:rsidRPr="00661BD0">
        <w:rPr>
          <w:sz w:val="24"/>
          <w:szCs w:val="24"/>
        </w:rPr>
        <w:t xml:space="preserve">the </w:t>
      </w:r>
      <w:r>
        <w:rPr>
          <w:sz w:val="24"/>
          <w:szCs w:val="24"/>
        </w:rPr>
        <w:t>average payday</w:t>
      </w:r>
      <w:r w:rsidRPr="00661BD0">
        <w:rPr>
          <w:sz w:val="24"/>
          <w:szCs w:val="24"/>
        </w:rPr>
        <w:t xml:space="preserve"> loan</w:t>
      </w:r>
      <w:r>
        <w:rPr>
          <w:sz w:val="24"/>
          <w:szCs w:val="24"/>
        </w:rPr>
        <w:t xml:space="preserve"> amount</w:t>
      </w:r>
      <w:r w:rsidRPr="00661BD0">
        <w:rPr>
          <w:sz w:val="24"/>
          <w:szCs w:val="24"/>
        </w:rPr>
        <w:t xml:space="preserve"> in Minnesota </w:t>
      </w:r>
      <w:r>
        <w:rPr>
          <w:sz w:val="24"/>
          <w:szCs w:val="24"/>
        </w:rPr>
        <w:t xml:space="preserve">is </w:t>
      </w:r>
      <w:r w:rsidRPr="00B70741">
        <w:rPr>
          <w:b/>
          <w:sz w:val="24"/>
          <w:szCs w:val="24"/>
        </w:rPr>
        <w:t>$3</w:t>
      </w:r>
      <w:r>
        <w:rPr>
          <w:b/>
          <w:sz w:val="24"/>
          <w:szCs w:val="24"/>
        </w:rPr>
        <w:t>41</w:t>
      </w:r>
      <w:r w:rsidRPr="00B70741">
        <w:rPr>
          <w:b/>
          <w:sz w:val="24"/>
          <w:szCs w:val="24"/>
        </w:rPr>
        <w:t>.</w:t>
      </w:r>
    </w:p>
    <w:p w:rsidR="00B72074" w:rsidRDefault="00B72074" w:rsidP="00B72074">
      <w:pPr>
        <w:spacing w:after="0" w:line="480" w:lineRule="auto"/>
        <w:rPr>
          <w:rFonts w:cs="Times New Roman"/>
          <w:i/>
          <w:sz w:val="24"/>
          <w:szCs w:val="24"/>
          <w:u w:val="single"/>
        </w:rPr>
      </w:pPr>
    </w:p>
    <w:p w:rsidR="00B72074" w:rsidRDefault="00B72074" w:rsidP="00B72074">
      <w:pPr>
        <w:spacing w:after="0" w:line="480" w:lineRule="auto"/>
        <w:ind w:firstLine="450"/>
        <w:rPr>
          <w:rFonts w:cs="Times New Roman"/>
          <w:i/>
          <w:sz w:val="24"/>
          <w:szCs w:val="24"/>
        </w:rPr>
      </w:pPr>
      <w:r w:rsidRPr="00F81F17">
        <w:rPr>
          <w:rFonts w:cs="Times New Roman"/>
          <w:i/>
          <w:noProof/>
          <w:color w:val="FF0000"/>
          <w:sz w:val="24"/>
          <w:szCs w:val="24"/>
        </w:rPr>
        <w:drawing>
          <wp:inline distT="0" distB="0" distL="0" distR="0" wp14:anchorId="516160BD" wp14:editId="1FC91950">
            <wp:extent cx="5486400" cy="4559808"/>
            <wp:effectExtent l="0" t="0" r="19050" b="127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72074" w:rsidRDefault="00B72074" w:rsidP="00B72074">
      <w:pPr>
        <w:spacing w:after="0" w:line="240" w:lineRule="auto"/>
        <w:rPr>
          <w:rFonts w:cs="Times New Roman"/>
          <w:i/>
          <w:sz w:val="24"/>
          <w:szCs w:val="24"/>
          <w:u w:val="single"/>
        </w:rPr>
      </w:pPr>
    </w:p>
    <w:p w:rsidR="00B72074" w:rsidRDefault="00B72074" w:rsidP="00B72074">
      <w:pPr>
        <w:spacing w:after="0" w:line="240" w:lineRule="auto"/>
        <w:rPr>
          <w:rFonts w:cs="Times New Roman"/>
          <w:i/>
          <w:sz w:val="24"/>
          <w:szCs w:val="24"/>
          <w:u w:val="single"/>
        </w:rPr>
      </w:pPr>
    </w:p>
    <w:p w:rsidR="00B72074" w:rsidRPr="0031228C" w:rsidRDefault="00B72074" w:rsidP="00B72074">
      <w:pPr>
        <w:tabs>
          <w:tab w:val="left" w:pos="360"/>
        </w:tabs>
        <w:spacing w:after="0" w:line="240" w:lineRule="auto"/>
        <w:rPr>
          <w:b/>
          <w:sz w:val="28"/>
          <w:szCs w:val="28"/>
        </w:rPr>
      </w:pPr>
      <w:r w:rsidRPr="0031228C">
        <w:rPr>
          <w:b/>
          <w:sz w:val="28"/>
          <w:szCs w:val="28"/>
          <w:u w:val="single"/>
        </w:rPr>
        <w:t>Defaults</w:t>
      </w:r>
    </w:p>
    <w:p w:rsidR="00B72074" w:rsidRDefault="00B72074" w:rsidP="00B72074">
      <w:pPr>
        <w:spacing w:after="0" w:line="240" w:lineRule="auto"/>
        <w:rPr>
          <w:rFonts w:cs="Times New Roman"/>
          <w:i/>
          <w:sz w:val="24"/>
          <w:szCs w:val="24"/>
          <w:u w:val="single"/>
        </w:rPr>
      </w:pPr>
    </w:p>
    <w:p w:rsidR="00B72074" w:rsidRDefault="00B72074" w:rsidP="00B72074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2014, the default payday loan rate was </w:t>
      </w:r>
      <w:r>
        <w:rPr>
          <w:rFonts w:cs="Times New Roman"/>
          <w:b/>
          <w:sz w:val="24"/>
          <w:szCs w:val="24"/>
        </w:rPr>
        <w:t>2.8%</w:t>
      </w:r>
      <w:r>
        <w:rPr>
          <w:rFonts w:cs="Times New Roman"/>
          <w:sz w:val="24"/>
          <w:szCs w:val="24"/>
        </w:rPr>
        <w:t>.</w:t>
      </w:r>
    </w:p>
    <w:p w:rsidR="00B72074" w:rsidRDefault="00B72074" w:rsidP="00B72074">
      <w:pPr>
        <w:pStyle w:val="ListParagraph"/>
        <w:spacing w:after="0" w:line="240" w:lineRule="auto"/>
        <w:ind w:left="1080" w:hanging="360"/>
        <w:rPr>
          <w:rFonts w:cs="Times New Roman"/>
          <w:sz w:val="24"/>
          <w:szCs w:val="24"/>
        </w:rPr>
      </w:pPr>
    </w:p>
    <w:p w:rsidR="00B72074" w:rsidRDefault="00B72074" w:rsidP="00B72074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Between 2009 and 2014, the cumulative default payday loan rate was </w:t>
      </w:r>
      <w:r>
        <w:rPr>
          <w:rFonts w:cs="Times New Roman"/>
          <w:b/>
          <w:sz w:val="24"/>
          <w:szCs w:val="24"/>
        </w:rPr>
        <w:t>2.7%</w:t>
      </w:r>
      <w:r>
        <w:rPr>
          <w:rFonts w:cs="Times New Roman"/>
          <w:sz w:val="24"/>
          <w:szCs w:val="24"/>
        </w:rPr>
        <w:t>.</w:t>
      </w:r>
    </w:p>
    <w:sectPr w:rsidR="00B72074" w:rsidSect="00957C4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074" w:rsidRDefault="00B72074" w:rsidP="00B72074">
      <w:pPr>
        <w:spacing w:after="0" w:line="240" w:lineRule="auto"/>
      </w:pPr>
      <w:r>
        <w:separator/>
      </w:r>
    </w:p>
  </w:endnote>
  <w:endnote w:type="continuationSeparator" w:id="0">
    <w:p w:rsidR="00B72074" w:rsidRDefault="00B72074" w:rsidP="00B7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838385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14DB7" w:rsidRDefault="00B72074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BA6DFD">
          <w:rPr>
            <w:sz w:val="16"/>
            <w:szCs w:val="16"/>
          </w:rPr>
          <w:fldChar w:fldCharType="begin"/>
        </w:r>
        <w:r w:rsidRPr="00BA6DFD">
          <w:rPr>
            <w:sz w:val="16"/>
            <w:szCs w:val="16"/>
          </w:rPr>
          <w:instrText xml:space="preserve"> PAGE   \* MERGEFORMAT </w:instrText>
        </w:r>
        <w:r w:rsidRPr="00BA6DFD">
          <w:rPr>
            <w:sz w:val="16"/>
            <w:szCs w:val="16"/>
          </w:rPr>
          <w:fldChar w:fldCharType="separate"/>
        </w:r>
        <w:r w:rsidR="008A6BE1">
          <w:rPr>
            <w:noProof/>
            <w:sz w:val="16"/>
            <w:szCs w:val="16"/>
          </w:rPr>
          <w:t>1</w:t>
        </w:r>
        <w:r w:rsidRPr="00BA6DFD">
          <w:rPr>
            <w:noProof/>
            <w:sz w:val="16"/>
            <w:szCs w:val="16"/>
          </w:rPr>
          <w:fldChar w:fldCharType="end"/>
        </w:r>
        <w:r w:rsidRPr="00BA6DFD">
          <w:rPr>
            <w:sz w:val="16"/>
            <w:szCs w:val="16"/>
          </w:rPr>
          <w:t xml:space="preserve"> | </w:t>
        </w:r>
        <w:r w:rsidRPr="00BA6DFD">
          <w:rPr>
            <w:color w:val="808080" w:themeColor="background1" w:themeShade="80"/>
            <w:spacing w:val="60"/>
            <w:sz w:val="16"/>
            <w:szCs w:val="16"/>
          </w:rPr>
          <w:t>Page</w:t>
        </w:r>
      </w:p>
    </w:sdtContent>
  </w:sdt>
  <w:p w:rsidR="00A14DB7" w:rsidRDefault="008A6B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074" w:rsidRDefault="00B72074" w:rsidP="00B72074">
      <w:pPr>
        <w:spacing w:after="0" w:line="240" w:lineRule="auto"/>
      </w:pPr>
      <w:r>
        <w:separator/>
      </w:r>
    </w:p>
  </w:footnote>
  <w:footnote w:type="continuationSeparator" w:id="0">
    <w:p w:rsidR="00B72074" w:rsidRDefault="00B72074" w:rsidP="00B72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93A4E"/>
    <w:multiLevelType w:val="hybridMultilevel"/>
    <w:tmpl w:val="4ED22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BB2B11"/>
    <w:multiLevelType w:val="hybridMultilevel"/>
    <w:tmpl w:val="C8EA4F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3854B11"/>
    <w:multiLevelType w:val="hybridMultilevel"/>
    <w:tmpl w:val="2CA4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56392"/>
    <w:multiLevelType w:val="hybridMultilevel"/>
    <w:tmpl w:val="BA6C7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27139"/>
    <w:multiLevelType w:val="hybridMultilevel"/>
    <w:tmpl w:val="C7E8B7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3590929"/>
    <w:multiLevelType w:val="hybridMultilevel"/>
    <w:tmpl w:val="ADBE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CD32A3"/>
    <w:multiLevelType w:val="hybridMultilevel"/>
    <w:tmpl w:val="8D405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1A2DFD"/>
    <w:multiLevelType w:val="hybridMultilevel"/>
    <w:tmpl w:val="1BC0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A42F6F"/>
    <w:multiLevelType w:val="hybridMultilevel"/>
    <w:tmpl w:val="C1F68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074"/>
    <w:rsid w:val="008A6BE1"/>
    <w:rsid w:val="009D40FF"/>
    <w:rsid w:val="00B7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07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07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B720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720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72074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B72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074"/>
  </w:style>
  <w:style w:type="table" w:styleId="TableGrid">
    <w:name w:val="Table Grid"/>
    <w:basedOn w:val="TableNormal"/>
    <w:uiPriority w:val="59"/>
    <w:rsid w:val="00B720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2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0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07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07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B720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720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72074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B72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074"/>
  </w:style>
  <w:style w:type="table" w:styleId="TableGrid">
    <w:name w:val="Table Grid"/>
    <w:basedOn w:val="TableNormal"/>
    <w:uiPriority w:val="59"/>
    <w:rsid w:val="00B720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2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0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10730843684"/>
          <c:y val="0.0303378969520702"/>
          <c:w val="0.864128278256557"/>
          <c:h val="0.891428909224185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0.0196850393700787"/>
                  <c:y val="-0.021021021021021"/>
                </c:manualLayout>
              </c:layout>
              <c:tx>
                <c:rich>
                  <a:bodyPr/>
                  <a:lstStyle/>
                  <a:p>
                    <a:r>
                      <a:rPr lang="en-US" sz="700"/>
                      <a:t>4,729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0.00656167979002625"/>
                  <c:y val="-0.054054054054054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0.00218722659667542"/>
                  <c:y val="-0.0990990990990991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-0.0371828521434821"/>
                  <c:y val="-0.165165165165165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 val="0.0109361329833771"/>
                  <c:y val="-0.18018018018018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 val="-0.00437445319335083"/>
                  <c:y val="-0.309309309309309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 val="0.0"/>
                  <c:y val="-0.267267267267267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4"/>
              <c:layout>
                <c:manualLayout>
                  <c:x val="0.0"/>
                  <c:y val="-0.24024024024024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6"/>
              <c:layout>
                <c:manualLayout>
                  <c:x val="0.0153105861767279"/>
                  <c:y val="-0.216216216216216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8"/>
              <c:layout>
                <c:manualLayout>
                  <c:x val="0.00218705437410875"/>
                  <c:y val="-0.285285285285285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0"/>
              <c:layout>
                <c:manualLayout>
                  <c:x val="0.0"/>
                  <c:y val="-0.336336336336336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2"/>
              <c:layout>
                <c:manualLayout>
                  <c:x val="-0.0481189851268591"/>
                  <c:y val="-0.381381381381381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4"/>
              <c:layout>
                <c:manualLayout>
                  <c:x val="0.0"/>
                  <c:y val="-0.405405405405405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6"/>
              <c:layout>
                <c:manualLayout>
                  <c:x val="-0.0437445319335083"/>
                  <c:y val="-0.441441441441441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8"/>
              <c:layout>
                <c:manualLayout>
                  <c:x val="-0.00656167979002625"/>
                  <c:y val="-0.441441441441441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0"/>
              <c:layout>
                <c:manualLayout>
                  <c:x val="0.00477475514600519"/>
                  <c:y val="-0.44518572672308"/>
                </c:manualLayout>
              </c:layout>
              <c:tx>
                <c:rich>
                  <a:bodyPr/>
                  <a:lstStyle/>
                  <a:p>
                    <a:r>
                      <a:rPr lang="en-US" sz="800" b="1" baseline="0"/>
                      <a:t>385,681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700" b="1"/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Sheet1!$A$2:$A$32</c:f>
              <c:numCache>
                <c:formatCode>General</c:formatCode>
                <c:ptCount val="31"/>
                <c:pt idx="0">
                  <c:v>1999.0</c:v>
                </c:pt>
                <c:pt idx="2">
                  <c:v>2000.0</c:v>
                </c:pt>
                <c:pt idx="4">
                  <c:v>2001.0</c:v>
                </c:pt>
                <c:pt idx="6">
                  <c:v>2002.0</c:v>
                </c:pt>
                <c:pt idx="8">
                  <c:v>2003.0</c:v>
                </c:pt>
                <c:pt idx="10">
                  <c:v>2004.0</c:v>
                </c:pt>
                <c:pt idx="12">
                  <c:v>2005.0</c:v>
                </c:pt>
                <c:pt idx="14">
                  <c:v>2006.0</c:v>
                </c:pt>
                <c:pt idx="16">
                  <c:v>2007.0</c:v>
                </c:pt>
                <c:pt idx="18">
                  <c:v>2008.0</c:v>
                </c:pt>
                <c:pt idx="20">
                  <c:v>2009.0</c:v>
                </c:pt>
                <c:pt idx="22">
                  <c:v>2010.0</c:v>
                </c:pt>
                <c:pt idx="24">
                  <c:v>2011.0</c:v>
                </c:pt>
                <c:pt idx="26">
                  <c:v>2012.0</c:v>
                </c:pt>
                <c:pt idx="28">
                  <c:v>2013.0</c:v>
                </c:pt>
                <c:pt idx="30">
                  <c:v>2014.0</c:v>
                </c:pt>
              </c:numCache>
            </c:numRef>
          </c:cat>
          <c:val>
            <c:numRef>
              <c:f>Sheet1!$B$2:$B$32</c:f>
              <c:numCache>
                <c:formatCode>General</c:formatCode>
                <c:ptCount val="31"/>
                <c:pt idx="0" formatCode="#,##0">
                  <c:v>4729.0</c:v>
                </c:pt>
                <c:pt idx="2" formatCode="#,##0">
                  <c:v>24986.0</c:v>
                </c:pt>
                <c:pt idx="4" formatCode="#,##0">
                  <c:v>70201.0</c:v>
                </c:pt>
                <c:pt idx="6" formatCode="#,##0">
                  <c:v>132225.0</c:v>
                </c:pt>
                <c:pt idx="8" formatCode="#,##0">
                  <c:v>136242.0</c:v>
                </c:pt>
                <c:pt idx="10" formatCode="#,##0">
                  <c:v>241154.0</c:v>
                </c:pt>
                <c:pt idx="12" formatCode="#,##0">
                  <c:v>212144.0</c:v>
                </c:pt>
                <c:pt idx="14" formatCode="#,##0">
                  <c:v>186916.0</c:v>
                </c:pt>
                <c:pt idx="16" formatCode="#,##0">
                  <c:v>172344.0</c:v>
                </c:pt>
                <c:pt idx="18" formatCode="#,##0">
                  <c:v>230943.0</c:v>
                </c:pt>
                <c:pt idx="20" formatCode="#,##0">
                  <c:v>277760.0</c:v>
                </c:pt>
                <c:pt idx="22" formatCode="#,##0">
                  <c:v>336432.0</c:v>
                </c:pt>
                <c:pt idx="24" formatCode="#,##0">
                  <c:v>338305.0</c:v>
                </c:pt>
                <c:pt idx="26" formatCode="#,##0">
                  <c:v>380948.0</c:v>
                </c:pt>
                <c:pt idx="28" formatCode="#,##0">
                  <c:v>384776.0</c:v>
                </c:pt>
                <c:pt idx="30" formatCode="#,##0">
                  <c:v>385681.0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invertIfNegative val="0"/>
          <c:cat>
            <c:numRef>
              <c:f>Sheet1!$A$2:$A$32</c:f>
              <c:numCache>
                <c:formatCode>General</c:formatCode>
                <c:ptCount val="31"/>
                <c:pt idx="0">
                  <c:v>1999.0</c:v>
                </c:pt>
                <c:pt idx="2">
                  <c:v>2000.0</c:v>
                </c:pt>
                <c:pt idx="4">
                  <c:v>2001.0</c:v>
                </c:pt>
                <c:pt idx="6">
                  <c:v>2002.0</c:v>
                </c:pt>
                <c:pt idx="8">
                  <c:v>2003.0</c:v>
                </c:pt>
                <c:pt idx="10">
                  <c:v>2004.0</c:v>
                </c:pt>
                <c:pt idx="12">
                  <c:v>2005.0</c:v>
                </c:pt>
                <c:pt idx="14">
                  <c:v>2006.0</c:v>
                </c:pt>
                <c:pt idx="16">
                  <c:v>2007.0</c:v>
                </c:pt>
                <c:pt idx="18">
                  <c:v>2008.0</c:v>
                </c:pt>
                <c:pt idx="20">
                  <c:v>2009.0</c:v>
                </c:pt>
                <c:pt idx="22">
                  <c:v>2010.0</c:v>
                </c:pt>
                <c:pt idx="24">
                  <c:v>2011.0</c:v>
                </c:pt>
                <c:pt idx="26">
                  <c:v>2012.0</c:v>
                </c:pt>
                <c:pt idx="28">
                  <c:v>2013.0</c:v>
                </c:pt>
                <c:pt idx="30">
                  <c:v>2014.0</c:v>
                </c:pt>
              </c:numCache>
            </c:numRef>
          </c:cat>
          <c:val>
            <c:numRef>
              <c:f>Sheet1!$C$2:$C$32</c:f>
              <c:numCache>
                <c:formatCode>General</c:formatCode>
                <c:ptCount val="31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invertIfNegative val="0"/>
          <c:cat>
            <c:numRef>
              <c:f>Sheet1!$A$2:$A$32</c:f>
              <c:numCache>
                <c:formatCode>General</c:formatCode>
                <c:ptCount val="31"/>
                <c:pt idx="0">
                  <c:v>1999.0</c:v>
                </c:pt>
                <c:pt idx="2">
                  <c:v>2000.0</c:v>
                </c:pt>
                <c:pt idx="4">
                  <c:v>2001.0</c:v>
                </c:pt>
                <c:pt idx="6">
                  <c:v>2002.0</c:v>
                </c:pt>
                <c:pt idx="8">
                  <c:v>2003.0</c:v>
                </c:pt>
                <c:pt idx="10">
                  <c:v>2004.0</c:v>
                </c:pt>
                <c:pt idx="12">
                  <c:v>2005.0</c:v>
                </c:pt>
                <c:pt idx="14">
                  <c:v>2006.0</c:v>
                </c:pt>
                <c:pt idx="16">
                  <c:v>2007.0</c:v>
                </c:pt>
                <c:pt idx="18">
                  <c:v>2008.0</c:v>
                </c:pt>
                <c:pt idx="20">
                  <c:v>2009.0</c:v>
                </c:pt>
                <c:pt idx="22">
                  <c:v>2010.0</c:v>
                </c:pt>
                <c:pt idx="24">
                  <c:v>2011.0</c:v>
                </c:pt>
                <c:pt idx="26">
                  <c:v>2012.0</c:v>
                </c:pt>
                <c:pt idx="28">
                  <c:v>2013.0</c:v>
                </c:pt>
                <c:pt idx="30">
                  <c:v>2014.0</c:v>
                </c:pt>
              </c:numCache>
            </c:numRef>
          </c:cat>
          <c:val>
            <c:numRef>
              <c:f>Sheet1!$D$2:$D$32</c:f>
              <c:numCache>
                <c:formatCode>General</c:formatCode>
                <c:ptCount val="31"/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-2139417064"/>
        <c:axId val="-2120626456"/>
      </c:barChart>
      <c:catAx>
        <c:axId val="-21394170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20626456"/>
        <c:crossesAt val="0.0"/>
        <c:auto val="1"/>
        <c:lblAlgn val="ctr"/>
        <c:lblOffset val="100"/>
        <c:noMultiLvlLbl val="0"/>
      </c:catAx>
      <c:valAx>
        <c:axId val="-2120626456"/>
        <c:scaling>
          <c:orientation val="minMax"/>
          <c:max val="400000.0"/>
          <c:min val="0.0"/>
        </c:scaling>
        <c:delete val="0"/>
        <c:axPos val="l"/>
        <c:majorGridlines/>
        <c:numFmt formatCode="#,##0" sourceLinked="0"/>
        <c:majorTickMark val="out"/>
        <c:minorTickMark val="none"/>
        <c:tickLblPos val="nextTo"/>
        <c:crossAx val="-2139417064"/>
        <c:crosses val="autoZero"/>
        <c:crossBetween val="between"/>
        <c:majorUnit val="50000.0"/>
        <c:minorUnit val="1000.0"/>
      </c:valAx>
      <c:spPr>
        <a:gradFill flip="none" rotWithShape="1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2700000" scaled="1"/>
          <a:tileRect/>
        </a:gradFill>
      </c:spPr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Payday Loans in Minnesota by</a:t>
            </a:r>
            <a:r>
              <a:rPr lang="en-US" sz="1400" baseline="0"/>
              <a:t> Region</a:t>
            </a:r>
          </a:p>
          <a:p>
            <a:pPr>
              <a:defRPr/>
            </a:pPr>
            <a:r>
              <a:rPr lang="en-US" sz="1400"/>
              <a:t>1999 -2014</a:t>
            </a:r>
          </a:p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0.173771821790635"/>
          <c:y val="0.0023257440580275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Payday Loans in Minnesota - 1999 -2014</c:v>
                </c:pt>
              </c:strCache>
            </c:strRef>
          </c:tx>
          <c:dLbls>
            <c:dLbl>
              <c:idx val="0"/>
              <c:layout>
                <c:manualLayout>
                  <c:x val="0.0162037037037037"/>
                  <c:y val="-0.0756143667296786"/>
                </c:manualLayout>
              </c:layout>
              <c:tx>
                <c:rich>
                  <a:bodyPr/>
                  <a:lstStyle/>
                  <a:p>
                    <a:r>
                      <a:rPr lang="en-US" sz="800" b="1"/>
                      <a:t>Suburban</a:t>
                    </a:r>
                  </a:p>
                  <a:p>
                    <a:r>
                      <a:rPr lang="en-US" sz="800"/>
                      <a:t>1,679,506</a:t>
                    </a:r>
                  </a:p>
                  <a:p>
                    <a:r>
                      <a:rPr lang="en-US" sz="800"/>
                      <a:t>47.8%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0.121247309638617"/>
                  <c:y val="-0.0945890281612219"/>
                </c:manualLayout>
              </c:layout>
              <c:tx>
                <c:rich>
                  <a:bodyPr/>
                  <a:lstStyle/>
                  <a:p>
                    <a:r>
                      <a:rPr lang="en-US" sz="800" b="1"/>
                      <a:t>Rural</a:t>
                    </a:r>
                  </a:p>
                  <a:p>
                    <a:r>
                      <a:rPr lang="en-US" sz="800"/>
                      <a:t>943,005</a:t>
                    </a:r>
                  </a:p>
                  <a:p>
                    <a:r>
                      <a:rPr lang="en-US" sz="800"/>
                      <a:t>26.8%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0.00694444444444442"/>
                  <c:y val="-0.0315059861373661"/>
                </c:manualLayout>
              </c:layout>
              <c:tx>
                <c:rich>
                  <a:bodyPr/>
                  <a:lstStyle/>
                  <a:p>
                    <a:r>
                      <a:rPr lang="en-US" sz="800" b="1"/>
                      <a:t>Mpls/St. Paul</a:t>
                    </a:r>
                  </a:p>
                  <a:p>
                    <a:r>
                      <a:rPr lang="en-US" sz="800"/>
                      <a:t>544,765</a:t>
                    </a:r>
                  </a:p>
                  <a:p>
                    <a:r>
                      <a:rPr lang="en-US" sz="800"/>
                      <a:t>15.5%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0.0231481481481481"/>
                  <c:y val="-0.015752993068683"/>
                </c:manualLayout>
              </c:layout>
              <c:tx>
                <c:rich>
                  <a:bodyPr/>
                  <a:lstStyle/>
                  <a:p>
                    <a:r>
                      <a:rPr lang="en-US" sz="800" b="1"/>
                      <a:t>Internet</a:t>
                    </a:r>
                  </a:p>
                  <a:p>
                    <a:r>
                      <a:rPr lang="en-US" sz="800"/>
                      <a:t>348,510</a:t>
                    </a:r>
                  </a:p>
                  <a:p>
                    <a:r>
                      <a:rPr lang="en-US" sz="800"/>
                      <a:t>9.9%</a:t>
                    </a:r>
                    <a:endParaRPr lang="en-US"/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800"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Sheet1!$A$2:$A$5</c:f>
              <c:strCache>
                <c:ptCount val="4"/>
                <c:pt idx="0">
                  <c:v>Suburban</c:v>
                </c:pt>
                <c:pt idx="1">
                  <c:v>Rural</c:v>
                </c:pt>
                <c:pt idx="2">
                  <c:v>Urban</c:v>
                </c:pt>
                <c:pt idx="3">
                  <c:v>Internet</c:v>
                </c:pt>
              </c:strCache>
            </c:strRef>
          </c:cat>
          <c:val>
            <c:numRef>
              <c:f>Sheet1!$B$2:$B$5</c:f>
              <c:numCache>
                <c:formatCode>#,##0</c:formatCode>
                <c:ptCount val="4"/>
                <c:pt idx="0">
                  <c:v>1.679506E6</c:v>
                </c:pt>
                <c:pt idx="1">
                  <c:v>857596.0</c:v>
                </c:pt>
                <c:pt idx="2">
                  <c:v>943005.0</c:v>
                </c:pt>
                <c:pt idx="3">
                  <c:v>348510.0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layout/>
      <c:overlay val="0"/>
    </c:legend>
    <c:plotVisOnly val="1"/>
    <c:dispBlanksAs val="gap"/>
    <c:showDLblsOverMax val="0"/>
  </c:chart>
  <c:spPr>
    <a:pattFill prst="pct70">
      <a:fgClr>
        <a:schemeClr val="bg1">
          <a:lumMod val="85000"/>
        </a:schemeClr>
      </a:fgClr>
      <a:bgClr>
        <a:schemeClr val="bg1">
          <a:lumMod val="65000"/>
        </a:schemeClr>
      </a:bgClr>
    </a:pattFill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Payday Loan Amount                   </a:t>
            </a:r>
          </a:p>
          <a:p>
            <a:pPr>
              <a:defRPr/>
            </a:pPr>
            <a:r>
              <a:rPr lang="en-US"/>
              <a:t>1999 - 2014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857773767862351"/>
          <c:y val="0.178419274888689"/>
          <c:w val="0.886852580927384"/>
          <c:h val="0.58462198408354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Loan   1999 - 2014</c:v>
                </c:pt>
              </c:strCache>
            </c:strRef>
          </c:tx>
          <c:invertIfNegative val="0"/>
          <c:dLbls>
            <c:dLbl>
              <c:idx val="4"/>
              <c:layout>
                <c:manualLayout>
                  <c:x val="0.0"/>
                  <c:y val="0.011148272017837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8"/>
              <c:layout>
                <c:manualLayout>
                  <c:x val="0.00231481481481481"/>
                  <c:y val="0.0"/>
                </c:manualLayout>
              </c:layout>
              <c:tx>
                <c:rich>
                  <a:bodyPr/>
                  <a:lstStyle/>
                  <a:p>
                    <a:pPr>
                      <a:defRPr sz="1000"/>
                    </a:pPr>
                    <a:r>
                      <a:rPr lang="en-US" b="1"/>
                      <a:t>$341</a:t>
                    </a:r>
                  </a:p>
                </c:rich>
              </c:tx>
              <c:spPr>
                <a:noFill/>
              </c:sp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0"/>
              <c:layout>
                <c:manualLayout>
                  <c:x val="0.0"/>
                  <c:y val="0.011148272017837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8"/>
              <c:layout>
                <c:manualLayout>
                  <c:x val="0.0"/>
                  <c:y val="0.0055741360089186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0"/>
              <c:layout>
                <c:manualLayout>
                  <c:x val="0.0"/>
                  <c:y val="0.0"/>
                </c:manualLayout>
              </c:layout>
              <c:tx>
                <c:rich>
                  <a:bodyPr/>
                  <a:lstStyle/>
                  <a:p>
                    <a:pPr>
                      <a:defRPr sz="1000"/>
                    </a:pPr>
                    <a:r>
                      <a:rPr lang="en-US" sz="1000" b="1"/>
                      <a:t>$392</a:t>
                    </a:r>
                  </a:p>
                </c:rich>
              </c:tx>
              <c:spPr>
                <a:noFill/>
              </c:sp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2"/>
              <c:layout>
                <c:manualLayout>
                  <c:x val="-0.0208333333333333"/>
                  <c:y val="0.019490852454027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</c:spPr>
            <c:txPr>
              <a:bodyPr/>
              <a:lstStyle/>
              <a:p>
                <a:pPr>
                  <a:defRPr sz="800"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Sheet1!$A$2:$A$34</c:f>
              <c:strCache>
                <c:ptCount val="33"/>
                <c:pt idx="0">
                  <c:v>1999</c:v>
                </c:pt>
                <c:pt idx="2">
                  <c:v>2000</c:v>
                </c:pt>
                <c:pt idx="4">
                  <c:v>2001</c:v>
                </c:pt>
                <c:pt idx="6">
                  <c:v>2002</c:v>
                </c:pt>
                <c:pt idx="8">
                  <c:v>2003</c:v>
                </c:pt>
                <c:pt idx="10">
                  <c:v>2004</c:v>
                </c:pt>
                <c:pt idx="12">
                  <c:v>2005</c:v>
                </c:pt>
                <c:pt idx="14">
                  <c:v>2006</c:v>
                </c:pt>
                <c:pt idx="16">
                  <c:v>2007</c:v>
                </c:pt>
                <c:pt idx="18">
                  <c:v>AVERAGE - 1999-2014</c:v>
                </c:pt>
                <c:pt idx="20">
                  <c:v>2008</c:v>
                </c:pt>
                <c:pt idx="22">
                  <c:v>2009</c:v>
                </c:pt>
                <c:pt idx="24">
                  <c:v>2010</c:v>
                </c:pt>
                <c:pt idx="26">
                  <c:v>2011</c:v>
                </c:pt>
                <c:pt idx="28">
                  <c:v>2012</c:v>
                </c:pt>
                <c:pt idx="30">
                  <c:v>2013</c:v>
                </c:pt>
                <c:pt idx="32">
                  <c:v>2014</c:v>
                </c:pt>
              </c:strCache>
            </c:strRef>
          </c:cat>
          <c:val>
            <c:numRef>
              <c:f>Sheet1!$B$2:$B$34</c:f>
              <c:numCache>
                <c:formatCode>General</c:formatCode>
                <c:ptCount val="33"/>
                <c:pt idx="0" formatCode="&quot;$&quot;#,##0">
                  <c:v>247.0</c:v>
                </c:pt>
                <c:pt idx="2" formatCode="&quot;$&quot;#,##0">
                  <c:v>245.0</c:v>
                </c:pt>
                <c:pt idx="4" formatCode="&quot;$&quot;#,##0">
                  <c:v>233.0</c:v>
                </c:pt>
                <c:pt idx="6" formatCode="&quot;$&quot;#,##0">
                  <c:v>227.0</c:v>
                </c:pt>
                <c:pt idx="8" formatCode="&quot;$&quot;#,##0">
                  <c:v>240.0</c:v>
                </c:pt>
                <c:pt idx="10" formatCode="&quot;$&quot;#,##0">
                  <c:v>256.0</c:v>
                </c:pt>
                <c:pt idx="12" formatCode="&quot;$&quot;#,##0">
                  <c:v>316.0</c:v>
                </c:pt>
                <c:pt idx="14" formatCode="&quot;$&quot;#,##0">
                  <c:v>312.0</c:v>
                </c:pt>
                <c:pt idx="16" formatCode="&quot;$&quot;#,##0">
                  <c:v>323.0</c:v>
                </c:pt>
                <c:pt idx="18" formatCode="&quot;$&quot;#,##0">
                  <c:v>327.0</c:v>
                </c:pt>
                <c:pt idx="20" formatCode="&quot;$&quot;#,##0">
                  <c:v>331.0</c:v>
                </c:pt>
                <c:pt idx="22" formatCode="&quot;$&quot;#,##0">
                  <c:v>347.0</c:v>
                </c:pt>
                <c:pt idx="24" formatCode="&quot;$&quot;#,##0">
                  <c:v>367.0</c:v>
                </c:pt>
                <c:pt idx="26" formatCode="&quot;$&quot;#,##0">
                  <c:v>376.0</c:v>
                </c:pt>
                <c:pt idx="28" formatCode="&quot;$&quot;#,##0">
                  <c:v>380.0</c:v>
                </c:pt>
                <c:pt idx="30" formatCode="&quot;$&quot;#,##0">
                  <c:v>392.0</c:v>
                </c:pt>
                <c:pt idx="32" formatCode="&quot;$&quot;#,##0">
                  <c:v>389.0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-2120463400"/>
        <c:axId val="-2120781208"/>
      </c:barChart>
      <c:catAx>
        <c:axId val="-2120463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20781208"/>
        <c:crosses val="autoZero"/>
        <c:auto val="1"/>
        <c:lblAlgn val="ctr"/>
        <c:lblOffset val="100"/>
        <c:noMultiLvlLbl val="0"/>
      </c:catAx>
      <c:valAx>
        <c:axId val="-2120781208"/>
        <c:scaling>
          <c:orientation val="minMax"/>
          <c:max val="400.0"/>
          <c:min val="0.0"/>
        </c:scaling>
        <c:delete val="0"/>
        <c:axPos val="l"/>
        <c:majorGridlines/>
        <c:numFmt formatCode="&quot;$&quot;#,##0" sourceLinked="1"/>
        <c:majorTickMark val="out"/>
        <c:minorTickMark val="none"/>
        <c:tickLblPos val="nextTo"/>
        <c:crossAx val="-2120463400"/>
        <c:crosses val="autoZero"/>
        <c:crossBetween val="between"/>
      </c:valAx>
      <c:spPr>
        <a:pattFill prst="smConfetti">
          <a:fgClr>
            <a:schemeClr val="accent1"/>
          </a:fgClr>
          <a:bgClr>
            <a:schemeClr val="bg1"/>
          </a:bgClr>
        </a:pattFill>
      </c:spPr>
    </c:plotArea>
    <c:plotVisOnly val="1"/>
    <c:dispBlanksAs val="gap"/>
    <c:showDLblsOverMax val="0"/>
  </c:chart>
  <c:spPr>
    <a:solidFill>
      <a:schemeClr val="bg1">
        <a:lumMod val="75000"/>
      </a:schemeClr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 Minnesota Legal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Elwood, Ron</dc:creator>
  <cp:lastModifiedBy>Brian Rusche</cp:lastModifiedBy>
  <cp:revision>2</cp:revision>
  <dcterms:created xsi:type="dcterms:W3CDTF">2015-07-29T19:30:00Z</dcterms:created>
  <dcterms:modified xsi:type="dcterms:W3CDTF">2015-07-29T19:30:00Z</dcterms:modified>
</cp:coreProperties>
</file>