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начало работы с документами</w:t>
      </w:r>
    </w:p>
    <w:p>
      <w:r>
        <w:t xml:space="preserve">Этот текст раздела дополняется словами </w:t>
      </w:r>
      <w:r>
        <w:rPr>
          <w:b/>
        </w:rPr>
        <w:t>полужирным</w:t>
      </w:r>
      <w:r>
        <w:t xml:space="preserve"> шрифтом и</w:t>
      </w:r>
      <w:r>
        <w:rPr>
          <w:i/>
        </w:rPr>
        <w:t>курсивом</w:t>
      </w:r>
    </w:p>
    <w:p>
      <w:pPr>
        <w:pStyle w:val="ListNumber"/>
      </w:pPr>
      <w:r>
        <w:t>После абзаца можно привести пример добавления текста через переменную, с использованием нового стиля.</w:t>
      </w:r>
    </w:p>
    <w:p>
      <w:pPr>
        <w:pStyle w:val="ListNumber"/>
      </w:pPr>
      <w:r>
        <w:t xml:space="preserve"> Например список с цифровыми или точечными маркерами.</w:t>
      </w:r>
    </w:p>
    <w:p>
      <w:r>
        <w:t>Далее приведем пример того же самого, но с точкой</w:t>
      </w:r>
    </w:p>
    <w:p>
      <w:pPr>
        <w:pStyle w:val="ListBullet"/>
      </w:pPr>
      <w:r>
        <w:t>После абзаца можно привести пример добавления текста через переменную, с использованием нового стиля.</w:t>
      </w:r>
    </w:p>
    <w:p>
      <w:pPr>
        <w:pStyle w:val="ListBullet"/>
      </w:pPr>
      <w:r>
        <w:t>После абзаца можно привести пример добавления текста через переменную, с использованием нового стиля.</w:t>
      </w:r>
    </w:p>
    <w:p>
      <w:pPr>
        <w:pStyle w:val="Heading1"/>
      </w:pPr>
      <w:r>
        <w:t>Заголовок первого уровня, например для таблицы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 п/п</w:t>
            </w:r>
          </w:p>
        </w:tc>
        <w:tc>
          <w:tcPr>
            <w:tcW w:type="dxa" w:w="2880"/>
          </w:tcPr>
          <w:p>
            <w:r>
              <w:t>Код товара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Computer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Scaner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2743200" cy="4878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