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end"/>
        <w:rPr>
          <w:rFonts w:ascii="Times New Roman" w:hAnsi="Times New Roman" w:cs="Times New Roman"/>
          <w:i/>
          <w:iCs/>
          <w:sz w:val="28"/>
          <w:szCs w:val="24"/>
        </w:rPr>
      </w:pPr>
      <w:r>
        <w:rPr>
          <w:rFonts w:cs="Times New Roman" w:ascii="Times New Roman" w:hAnsi="Times New Roman"/>
          <w:i/>
          <w:iCs/>
          <w:sz w:val="28"/>
          <w:szCs w:val="24"/>
          <w:highlight w:val="yellow"/>
        </w:rPr>
        <w:t>ФИО, группа</w:t>
      </w:r>
    </w:p>
    <w:p>
      <w:pPr>
        <w:pStyle w:val="Normal"/>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АКТ</w:t>
      </w:r>
    </w:p>
    <w:p>
      <w:pPr>
        <w:pStyle w:val="Normal"/>
        <w:spacing w:lineRule="auto" w:line="276"/>
        <w:jc w:val="center"/>
        <w:rPr>
          <w:rFonts w:ascii="Times New Roman" w:hAnsi="Times New Roman" w:cs="Times New Roman"/>
          <w:sz w:val="28"/>
          <w:szCs w:val="28"/>
        </w:rPr>
      </w:pPr>
      <w:r>
        <w:rPr>
          <w:rFonts w:eastAsia="Times New Roman" w:cs="Times New Roman" w:ascii="Times New Roman" w:hAnsi="Times New Roman"/>
          <w:b/>
          <w:sz w:val="28"/>
          <w:szCs w:val="28"/>
        </w:rPr>
        <w:t>категорирования объекта критической информационной инфраструктуры</w:t>
      </w:r>
    </w:p>
    <w:p>
      <w:pPr>
        <w:pStyle w:val="Normal"/>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Комиссией по категорированию объектов критической информационной инфраструктуры, принадлежащих </w:t>
      </w:r>
      <w:r>
        <w:rPr>
          <w:rFonts w:cs="Times New Roman" w:ascii="Times New Roman" w:hAnsi="Times New Roman"/>
          <w:i/>
          <w:iCs/>
          <w:sz w:val="28"/>
          <w:szCs w:val="28"/>
          <w:highlight w:val="yellow"/>
        </w:rPr>
        <w:t>Публичному акционерному обществу "МегаФон" (ПАО "МегаФон")</w:t>
      </w:r>
      <w:r>
        <w:rPr>
          <w:rFonts w:cs="Times New Roman" w:ascii="Times New Roman" w:hAnsi="Times New Roman"/>
          <w:sz w:val="28"/>
          <w:szCs w:val="28"/>
        </w:rPr>
        <w:t xml:space="preserve"> на праве собственности, аренды или ином законном основании, ПРИНЯТО РЕШЕНИЕ:</w:t>
      </w:r>
    </w:p>
    <w:p>
      <w:pPr>
        <w:pStyle w:val="Normal"/>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присвоить объекту критической информационной инфраструктуры </w:t>
      </w:r>
      <w:r>
        <w:rPr>
          <w:rFonts w:cs="Times New Roman" w:ascii="Times New Roman" w:hAnsi="Times New Roman"/>
          <w:i/>
          <w:iCs/>
          <w:sz w:val="28"/>
          <w:szCs w:val="28"/>
          <w:highlight w:val="yellow"/>
        </w:rPr>
        <w:t>Автоматизированная система управления и мониторинга сетей электросвязи (NMS) - ядро сети LTE</w:t>
      </w:r>
      <w:r>
        <w:rPr>
          <w:rFonts w:cs="Times New Roman" w:ascii="Times New Roman" w:hAnsi="Times New Roman"/>
          <w:sz w:val="28"/>
          <w:szCs w:val="28"/>
        </w:rPr>
        <w:t xml:space="preserve">, функционирующему в сфере </w:t>
      </w:r>
      <w:r>
        <w:rPr>
          <w:rFonts w:cs="Times New Roman" w:ascii="Times New Roman" w:hAnsi="Times New Roman"/>
          <w:sz w:val="28"/>
          <w:szCs w:val="28"/>
          <w:highlight w:val="yellow"/>
        </w:rPr>
        <w:t>связи</w:t>
      </w:r>
      <w:r>
        <w:rPr>
          <w:rFonts w:cs="Times New Roman" w:ascii="Times New Roman" w:hAnsi="Times New Roman"/>
          <w:sz w:val="28"/>
          <w:szCs w:val="28"/>
        </w:rPr>
        <w:t xml:space="preserve">, </w:t>
      </w:r>
      <w:r>
        <w:rPr>
          <w:rFonts w:cs="Times New Roman" w:ascii="Times New Roman" w:hAnsi="Times New Roman"/>
          <w:sz w:val="28"/>
          <w:szCs w:val="28"/>
          <w:highlight w:val="yellow"/>
        </w:rPr>
        <w:t>первую</w:t>
      </w:r>
      <w:r>
        <w:rPr>
          <w:rFonts w:cs="Times New Roman" w:ascii="Times New Roman" w:hAnsi="Times New Roman"/>
          <w:sz w:val="28"/>
          <w:szCs w:val="28"/>
        </w:rPr>
        <w:t xml:space="preserve"> категорию значимости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REF _Ref223189313 \h </w:instrText>
      </w:r>
      <w:r>
        <w:rPr>
          <w:rFonts w:cs="Times New Roman" w:ascii="Times New Roman" w:hAnsi="Times New Roman"/>
          <w:sz w:val="28"/>
          <w:szCs w:val="28"/>
        </w:rPr>
        <w:fldChar w:fldCharType="separate"/>
      </w:r>
      <w:r>
        <w:rPr>
          <w:rFonts w:cs="Times New Roman" w:ascii="Times New Roman" w:hAnsi="Times New Roman"/>
          <w:sz w:val="28"/>
          <w:szCs w:val="28"/>
        </w:rPr>
        <w:t>Таблица 1</w:t>
      </w:r>
      <w:r>
        <w:rPr>
          <w:rFonts w:cs="Times New Roman" w:ascii="Times New Roman" w:hAnsi="Times New Roman"/>
          <w:sz w:val="28"/>
          <w:szCs w:val="28"/>
        </w:rPr>
        <w:fldChar w:fldCharType="end"/>
      </w:r>
      <w:r>
        <w:rPr>
          <w:rFonts w:cs="Times New Roman" w:ascii="Times New Roman" w:hAnsi="Times New Roman"/>
          <w:sz w:val="28"/>
          <w:szCs w:val="28"/>
        </w:rPr>
        <w:t>).</w:t>
      </w:r>
    </w:p>
    <w:p>
      <w:pPr>
        <w:pStyle w:val="Normal"/>
        <w:keepNext w:val="true"/>
        <w:keepLines/>
        <w:spacing w:lineRule="auto" w:line="276" w:before="240" w:after="0"/>
        <w:jc w:val="end"/>
        <w:rPr>
          <w:rFonts w:ascii="Times New Roman" w:hAnsi="Times New Roman" w:cs="Times New Roman"/>
          <w:sz w:val="28"/>
          <w:szCs w:val="28"/>
        </w:rPr>
      </w:pPr>
      <w:bookmarkStart w:id="0" w:name="_Ref223189313"/>
      <w:r>
        <w:rPr>
          <w:rFonts w:cs="Times New Roman" w:ascii="Times New Roman" w:hAnsi="Times New Roman"/>
          <w:sz w:val="28"/>
          <w:szCs w:val="28"/>
        </w:rPr>
        <w:t xml:space="preserve">Таблица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SEQ Таблица \* ARABIC </w:instrText>
      </w:r>
      <w:r>
        <w:rPr>
          <w:rFonts w:cs="Times New Roman" w:ascii="Times New Roman" w:hAnsi="Times New Roman"/>
          <w:sz w:val="28"/>
          <w:szCs w:val="28"/>
        </w:rPr>
        <w:fldChar w:fldCharType="separate"/>
      </w:r>
      <w:r>
        <w:rPr>
          <w:rFonts w:cs="Times New Roman" w:ascii="Times New Roman" w:hAnsi="Times New Roman"/>
          <w:sz w:val="28"/>
          <w:szCs w:val="28"/>
        </w:rPr>
        <w:t>1</w:t>
      </w:r>
      <w:r>
        <w:rPr>
          <w:rFonts w:cs="Times New Roman" w:ascii="Times New Roman" w:hAnsi="Times New Roman"/>
          <w:sz w:val="28"/>
          <w:szCs w:val="28"/>
        </w:rPr>
        <w:fldChar w:fldCharType="end"/>
      </w:r>
      <w:bookmarkEnd w:id="0"/>
      <w:r>
        <w:rPr>
          <w:rFonts w:cs="Times New Roman" w:ascii="Times New Roman" w:hAnsi="Times New Roman"/>
          <w:sz w:val="28"/>
          <w:szCs w:val="28"/>
        </w:rPr>
        <w:t xml:space="preserve"> – Перечень показателей критериев значимости объектов критической информационной инфраструктуры Российской Федерации и их значений</w:t>
      </w:r>
    </w:p>
    <w:tbl>
      <w:tblPr>
        <w:tblW w:w="5000" w:type="pct"/>
        <w:jc w:val="center"/>
        <w:tblInd w:w="0" w:type="dxa"/>
        <w:tblLayout w:type="fixed"/>
        <w:tblCellMar>
          <w:top w:w="75" w:type="dxa"/>
          <w:start w:w="149" w:type="dxa"/>
          <w:bottom w:w="75" w:type="dxa"/>
          <w:end w:w="149" w:type="dxa"/>
        </w:tblCellMar>
        <w:tblLook w:firstRow="1" w:noVBand="1" w:lastRow="0" w:firstColumn="1" w:lastColumn="0" w:noHBand="0" w:val="04a0"/>
      </w:tblPr>
      <w:tblGrid>
        <w:gridCol w:w="661"/>
        <w:gridCol w:w="3070"/>
        <w:gridCol w:w="3699"/>
        <w:gridCol w:w="1239"/>
        <w:gridCol w:w="1716"/>
        <w:gridCol w:w="4185"/>
      </w:tblGrid>
      <w:tr>
        <w:trPr>
          <w:tblHeader w:val="true"/>
        </w:trPr>
        <w:tc>
          <w:tcPr>
            <w:tcW w:w="661"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 xml:space="preserve">№ </w:t>
            </w:r>
            <w:r>
              <w:rPr>
                <w:rFonts w:cs="Times New Roman" w:ascii="Times New Roman" w:hAnsi="Times New Roman"/>
                <w:b/>
                <w:bCs/>
                <w:color w:val="000000"/>
                <w:sz w:val="24"/>
                <w:szCs w:val="24"/>
              </w:rPr>
              <w:t>п/п</w:t>
            </w:r>
          </w:p>
        </w:tc>
        <w:tc>
          <w:tcPr>
            <w:tcW w:w="3070" w:type="dxa"/>
            <w:tcBorders>
              <w:top w:val="single" w:sz="4" w:space="0" w:color="000000"/>
              <w:start w:val="single" w:sz="4" w:space="0" w:color="000000"/>
              <w:bottom w:val="single" w:sz="4" w:space="0" w:color="000000"/>
              <w:end w:val="single" w:sz="4" w:space="0" w:color="000000"/>
            </w:tcBorders>
            <w:shd w:color="auto" w:fill="D9D9D9" w:val="clear"/>
            <w:tcMar>
              <w:top w:w="57" w:type="dxa"/>
              <w:start w:w="57" w:type="dxa"/>
              <w:bottom w:w="57" w:type="dxa"/>
              <w:end w:w="57" w:type="dxa"/>
            </w:tcMar>
            <w:vAlign w:val="cente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Показатель</w:t>
            </w:r>
          </w:p>
        </w:tc>
        <w:tc>
          <w:tcPr>
            <w:tcW w:w="3699" w:type="dxa"/>
            <w:tcBorders>
              <w:top w:val="single" w:sz="4" w:space="0" w:color="000000"/>
              <w:start w:val="single" w:sz="4" w:space="0" w:color="000000"/>
              <w:bottom w:val="single" w:sz="4" w:space="0" w:color="000000"/>
              <w:end w:val="single" w:sz="4" w:space="0" w:color="000000"/>
            </w:tcBorders>
            <w:shd w:color="auto" w:fill="D9D9D9" w:val="clear"/>
            <w:tcMar>
              <w:top w:w="57" w:type="dxa"/>
              <w:start w:w="57" w:type="dxa"/>
              <w:bottom w:w="57" w:type="dxa"/>
              <w:end w:w="57" w:type="dxa"/>
            </w:tcMar>
            <w:vAlign w:val="cente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Значение показателя</w:t>
            </w:r>
          </w:p>
        </w:tc>
        <w:tc>
          <w:tcPr>
            <w:tcW w:w="1239" w:type="dxa"/>
            <w:tcBorders>
              <w:top w:val="single" w:sz="4" w:space="0" w:color="000000"/>
              <w:start w:val="single" w:sz="4" w:space="0" w:color="000000"/>
              <w:bottom w:val="single" w:sz="4" w:space="0" w:color="000000"/>
              <w:end w:val="single" w:sz="4" w:space="0" w:color="000000"/>
            </w:tcBorders>
            <w:shd w:color="auto" w:fill="D9D9D9" w:val="clear"/>
            <w:tcMar>
              <w:top w:w="57" w:type="dxa"/>
              <w:start w:w="57" w:type="dxa"/>
              <w:bottom w:w="57" w:type="dxa"/>
              <w:end w:w="57" w:type="dxa"/>
            </w:tcMar>
            <w:vAlign w:val="cente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Категория</w:t>
            </w:r>
          </w:p>
        </w:tc>
        <w:tc>
          <w:tcPr>
            <w:tcW w:w="1716" w:type="dxa"/>
            <w:tcBorders>
              <w:top w:val="single" w:sz="4" w:space="0" w:color="000000"/>
              <w:start w:val="single" w:sz="4" w:space="0" w:color="000000"/>
              <w:bottom w:val="single" w:sz="4" w:space="0" w:color="000000"/>
              <w:end w:val="single" w:sz="4" w:space="0" w:color="000000"/>
            </w:tcBorders>
            <w:shd w:color="auto" w:fill="D9D9D9" w:val="clear"/>
            <w:tcMar>
              <w:top w:w="57" w:type="dxa"/>
              <w:start w:w="57" w:type="dxa"/>
              <w:bottom w:w="57" w:type="dxa"/>
              <w:end w:w="57" w:type="dxa"/>
            </w:tcMar>
            <w:vAlign w:val="cente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Применимость показателя к объекту КИИ (да/нет)</w:t>
            </w:r>
          </w:p>
        </w:tc>
        <w:tc>
          <w:tcPr>
            <w:tcW w:w="4185" w:type="dxa"/>
            <w:tcBorders>
              <w:top w:val="single" w:sz="4" w:space="0" w:color="000000"/>
              <w:start w:val="single" w:sz="4" w:space="0" w:color="000000"/>
              <w:bottom w:val="single" w:sz="4" w:space="0" w:color="000000"/>
              <w:end w:val="single" w:sz="4" w:space="0" w:color="000000"/>
            </w:tcBorders>
            <w:shd w:color="auto" w:fill="D9D9D9" w:val="clear"/>
            <w:tcMar>
              <w:top w:w="57" w:type="dxa"/>
              <w:start w:w="57" w:type="dxa"/>
              <w:bottom w:w="57" w:type="dxa"/>
              <w:end w:w="57" w:type="dxa"/>
            </w:tcMar>
            <w:vAlign w:val="cente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Обоснование полученных значений или неприменимости показателя к объекту КИИ</w:t>
            </w:r>
          </w:p>
        </w:tc>
      </w:tr>
      <w:tr>
        <w:trPr/>
        <w:tc>
          <w:tcPr>
            <w:tcW w:w="14570" w:type="dxa"/>
            <w:gridSpan w:val="6"/>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I. Социальная значимость</w:t>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1.</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Причинение ущерба жизни и здоровью людей (человек)</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Объект КИИ является программно-аппаратным комплексом управления сетью и не оказывает непосредственного физического, химического или биологического воздействия на жизнь и здоровье людей.</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 но менее или равно 50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50, но менее или равно 500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500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2.</w:t>
            </w:r>
          </w:p>
        </w:tc>
        <w:tc>
          <w:tcPr>
            <w:tcW w:w="9724"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объектов обеспечения жизнедеятельности населения, оцениваемые:</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Нарушение работы ядра сети LTE может привести к прекращению связи для экстренных оперативных служб (112, скорая помощь, МЧС) и нарушить их функционирование на территории Москвы и Московской области, что превышает границы одного муниципального образования.</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Нарушение работы ядра сети LTE приведет к невозможности вызова экстренных служб для более 7 млн человек (исходя из абонентской базы оператора в московском регионе), что соответствует I категории.</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а) на территории, на которой возможно нарушение обеспечения жизнедеятельности населения</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 пределах территории одного муниципального образования (численностью от 2 тыс. человек) или одной внутригородской территории города федерального значения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выход за пределы территории одного муниципального образования (численностью от 2 тыс. человек)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выход за пределы территории одного субъекта Российской Федерации или территории города федерального значения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 по количеству людей, условия жизнедеятельности которых могут быть нарушены (тыс. человек)</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2, но менее 1000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1000, но менее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3.</w:t>
            </w:r>
          </w:p>
        </w:tc>
        <w:tc>
          <w:tcPr>
            <w:tcW w:w="9724"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объектов транспортной инфраструктуры, организаций, осуществляющих деятельность в области грузовых и пассажирских перевозок, транспортных средств, в том числе высокоавтоматизированных транспортных средств, оцениваемые:</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Объект КИИ обеспечивает работу транспортных приложений и навигации. Нарушение его работы может привести к сбоям в работе систем управления движением поездов метрополитена (Московский метрополитен), что выходит за пределы одного муниципального образования.</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Отказ системы повлияет на пассажиров московского транспорта, пользующихся мобильными приложениями для оплаты проезда и навигации - более 5 млн человек.</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Ядро сети LTE обеспечивает связь для систем мониторинга и управления перевозками опасных грузов (топливо, химические вещества) по территории Московского региона.</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имеет договоры на обеспечение связью ряда объектов транспортной инфраструктуры, отнесенных к 1-й категории (например, отдельные объекты Московского метрополитена).</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а) на территории, на которой возможно нарушение транспортного сообщения или предоставления транспортных услуг (пассажирских и грузовых перевозок)</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 пределах территории одного муниципального образования (численностью от 2 тыс. человек) или одной внутригородской территории города федерального значения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выход за пределы территории одного муниципального образования (численностью от 2 тыс. человек)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выход за пределы территории одного субъекта Российской Федерации или территории города федерального значения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 по количеству людей, для которых могут быть недоступны транспортные услуги (тыс. человек)</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2, но менее 1000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1000, но менее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 по типам нарушенных перевозок и грузов</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мультимодальные и интермодальные перевозки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перевозка, погрузка, разгрузка, хранение опасных грузов, на перевозку которых требуется специальное разрешение, и (или) грузов повышенной опасности в пределах территории одного субъекта Российской Федерации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перевозка, погрузка, разгрузка, хранение опасных грузов, на перевозку которых требуется специальное разрешение, и (или) грузов повышенной опасности в пределах территорий 2 и более субъектов Российской Федерации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г) по категорированию объектов транспортной инфраструктуры</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объект транспортной инфраструктуры 3-й или 4-й категории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объект транспортной инфраструктуры 2-й категории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объект транспортной инфраструктуры 1-й категории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4.</w:t>
            </w:r>
          </w:p>
        </w:tc>
        <w:tc>
          <w:tcPr>
            <w:tcW w:w="9724"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сети связи, оцениваемые:</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Нарушение работы ядра сети LTE приведет к потере связи на территории нескольких субъектов РФ (Москва, Московская область, соседние области, тяготеющие к московскому ядру).</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Ядро сети LTE обслуживает более 10 млн абонентов в центральном регионе. Согласно Методическим указаниям, при значении более 5 млн присваивается I категория</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а) по количеству абонентов, для которых могут быть недоступны услуги связи (тыс. человек)</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3, но менее 1000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1000, но менее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 по уровню органа государственной власти (количеству органов) или организации, для которых могут быть нарушены или недоступны услуги связи</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орган государственной власти субъекта Российской Федерации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федеральный орган государственной власти, государственная корпорация, Центральный банк Российской Федерации, 2 и более органа государственной власти субъекта Российской Федерации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Администрация Президента Российской Федерации, Правительство Российской Федерации, Федеральное Собрание Российской Федерации, Совет Безопасности Российской Федерации, Верховный Суд Российской Федерации, Конституционный Суд Российской Федерации, 2 и более федеральных органа государственной власти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5.</w:t>
            </w:r>
          </w:p>
        </w:tc>
        <w:tc>
          <w:tcPr>
            <w:tcW w:w="9724"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Отсутствие доступа к государственной услуге, оцениваемое:</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имеет государственные контракты с органами власти (Правительство РФ, федеральные органы). Нарушение работы ядра сети LTE приведет к отсутствию доступа к ЕПГУ и ведомственным услугам для сотрудников этих органов. Время восстановления услуги, предусмотренное регламентом, превысит допустимые 6 часов, что соответствует I категории.</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При нарушении работы объекта КИИ время оказания государственной услуги для получателей, обслуживаемых через инфраструктуру оператора, превысит 70% от нормативного, что соответствует I категории.</w:t>
            </w:r>
          </w:p>
        </w:tc>
      </w:tr>
      <w:tr>
        <w:trPr>
          <w:trHeight w:val="324" w:hRule="atLeast"/>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а) в максимальном допустимом времени, в течение которого государственная услуга может быть недоступна для получателей такой услуги (часов)</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или равно 24, но более 12</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или равно 12, но более 6</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или равно 6</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 во времени с момента приема запроса о предоставлении государственной услуги органом, предоставляющим государственную услугу, или подведомственной государственному органу организацией, участвующей в предоставлении государственной услуги, в течение которого государственная услуга не может быть оказана (в процентах от времени предоставления услуги, предусмотренного административным регламентом)</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или равно 30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30, но менее или равно 70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70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14570" w:type="dxa"/>
            <w:gridSpan w:val="6"/>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II. Политическая значимость</w:t>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6.</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государственного органа или организации, созданной на основании федерального закона, в части невыполнения возложенной на них функции (полномочия)</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обеспечивает услугами связи органы государственной власти, включая Администрацию Президента и Правительство РФ. Нарушение работы ядра сети LTE приведет к прекращению или нарушению выполнения функций этими органами.</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органа государственной власти субъекта Российской Федерации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федерального органа государственной власти, государственной корпорации, Центрального банка Российской Федерации, 2 и более органов государственной власти субъекта Российской Федерации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Администрации Президента Российской Федерации, Правительства Российской Федерации, Федерального Собрания Российской Федерации, Совета Безопасности Российской Федерации, Верховного Суда Российской Федерации, Конституционного Суда Российской Федерации, 2 и более федеральных органов государственной власти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7.</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Нарушение условий международного договора Российской Федерации, срыв переговоров или подписания планируемого к заключению международного договора Российской Федерации, оцениваемые по уровню международного договора Российской Федерации</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Деятельность ПАО "МегаФон" и функционирование данного объекта КИИ напрямую не связаны с выполнением условий международных договоров РФ.</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нарушение условий договора межведомственного характера (срыв переговоров или подписания)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нарушение условий межправительственного договора (срыв переговоров или подписания)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нарушение условий межгосударственного договора (срыв переговоров или подписания)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14570" w:type="dxa"/>
            <w:gridSpan w:val="6"/>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III. Экономическая значимость</w:t>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8.</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Возникновение ущерба субъекту критической информационной инфраструктуры, который является государственной корпорацией, государственным унитарным предприятием, государственной компанией, организацией оборонно-промышленного комплекса, стратегическим акционерным обществом </w:t>
            </w:r>
            <w:hyperlink w:anchor="anchor44">
              <w:r>
                <w:rPr>
                  <w:rStyle w:val="Style9"/>
                  <w:rFonts w:cs="Times New Roman" w:ascii="Times New Roman" w:hAnsi="Times New Roman"/>
                  <w:color w:val="000000"/>
                  <w:sz w:val="24"/>
                  <w:szCs w:val="24"/>
                </w:rPr>
                <w:t>4</w:t>
              </w:r>
            </w:hyperlink>
            <w:r>
              <w:rPr>
                <w:rFonts w:cs="Times New Roman" w:ascii="Times New Roman" w:hAnsi="Times New Roman"/>
                <w:color w:val="000000"/>
                <w:sz w:val="24"/>
                <w:szCs w:val="24"/>
              </w:rPr>
              <w:t>, стратегическим предприятием </w:t>
            </w:r>
            <w:hyperlink w:anchor="anchor44">
              <w:r>
                <w:rPr>
                  <w:rStyle w:val="Style9"/>
                  <w:rFonts w:cs="Times New Roman" w:ascii="Times New Roman" w:hAnsi="Times New Roman"/>
                  <w:color w:val="000000"/>
                  <w:sz w:val="24"/>
                  <w:szCs w:val="24"/>
                </w:rPr>
                <w:t>4</w:t>
              </w:r>
            </w:hyperlink>
            <w:r>
              <w:rPr>
                <w:rFonts w:cs="Times New Roman" w:ascii="Times New Roman" w:hAnsi="Times New Roman"/>
                <w:color w:val="000000"/>
                <w:sz w:val="24"/>
                <w:szCs w:val="24"/>
              </w:rPr>
              <w:t>, оцениваемого в снижении уровня дохода (с учетом налога на добавленную стоимость, акцизов и иных обязательных платежей) по всем видам деятельности (процентов от годового объема доходов, усредненного за прошедший 5-летний период)</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является публичной коммерческой компанией и не относится к государственным корпорациям, стратегическим предприятиям или организациям ОПК, для которых применим данный показатель.</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 но менее или равно 10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10, но менее или равно 20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20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9.</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Возникновение ущерба бюджету Российской Федерации, оцениваемого в снижении выплат (отчислений) в бюджет, осуществляемых субъектом критической информационной инфраструктуры (процентов прогнозируемого годового дохода федерального бюджета, усредненного за планируемый 3-летний период)</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При нарушении работы ядра сети LTE и простое сети в течение 3 дней прогнозируемое снижение налоговых выплат (налог на прибыль, НДС) в федеральный бюджет составит более 0,001% от прогнозируемого годового дохода федерального бюджета.</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0,0003, но менее или равно 0,0006</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0,0006, но менее или равно 0,001</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0,001</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10.</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проведения клиентами операций по осуществлению перевода денежных средств, осуществляемых субъектом критической информационной инфраструктуры, являющимся в соответствии с законодательством Российской Федерации оператором платформы цифрового рубля, системно значимой кредитной организацией, кредитной организацией, выполняющей функции оператора услуг платежной инфраструктуры системно и социально значимых платежных систем, кредитной организацией, значимой на рынке платежных услуг, оператором услуг платежной инфраструктуры, оказывающим услуги платежной инфраструктуры в рамках системно значимых платежных систем, оцениваемые среднедневным (по отношению к числу календарных дней в году) количеством осуществляемых операций (млн. единиц) (расчет осуществляется по итогам года, а для создаваемых объектов - на основе прогнозных значений)</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не является кредитной организацией, центральным депозитарием, НПФ или страховой организацией.</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или равно 70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70, но менее или равно 120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120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vertAlign w:val="superscript"/>
              </w:rPr>
            </w:pPr>
            <w:r>
              <w:rPr>
                <w:rFonts w:cs="Times New Roman" w:ascii="Times New Roman" w:hAnsi="Times New Roman"/>
                <w:color w:val="000000"/>
                <w:sz w:val="24"/>
                <w:szCs w:val="24"/>
              </w:rPr>
              <w:t>10</w:t>
            </w:r>
            <w:r>
              <w:rPr>
                <w:rFonts w:cs="Times New Roman" w:ascii="Times New Roman" w:hAnsi="Times New Roman"/>
                <w:color w:val="000000"/>
                <w:sz w:val="24"/>
                <w:szCs w:val="24"/>
                <w:vertAlign w:val="superscript"/>
              </w:rPr>
              <w:t>1</w:t>
            </w:r>
            <w:r>
              <w:rPr>
                <w:rFonts w:cs="Times New Roman" w:ascii="Times New Roman" w:hAnsi="Times New Roman"/>
                <w:color w:val="000000"/>
                <w:sz w:val="24"/>
                <w:szCs w:val="24"/>
              </w:rPr>
              <w:t>.</w:t>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проведения операций по исполнению обязательств, осуществляемых субъектом критической информационной инфраструктуры, являющимся центральным контрагентом, среднедневной размер обязательств которого по передаче денежных средств в валюте Российской Федерации по итогам клиринга за последние 12 месяцев (трлн. рублей)</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lang w:val="ru-RU"/>
              </w:rPr>
            </w:pPr>
            <w:r>
              <w:rPr>
                <w:rFonts w:cs="Times New Roman" w:ascii="Times New Roman" w:hAnsi="Times New Roman"/>
                <w:color w:val="000000"/>
                <w:sz w:val="24"/>
                <w:szCs w:val="24"/>
                <w:lang w:val="ru-RU"/>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не является центральным контрагентом.</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1</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 но менее 10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vertAlign w:val="superscript"/>
              </w:rPr>
            </w:pPr>
            <w:r>
              <w:rPr>
                <w:rFonts w:cs="Times New Roman" w:ascii="Times New Roman" w:hAnsi="Times New Roman"/>
                <w:color w:val="000000"/>
                <w:sz w:val="24"/>
                <w:szCs w:val="24"/>
              </w:rPr>
              <w:t>10</w:t>
            </w:r>
            <w:r>
              <w:rPr>
                <w:rFonts w:cs="Times New Roman" w:ascii="Times New Roman" w:hAnsi="Times New Roman"/>
                <w:color w:val="000000"/>
                <w:sz w:val="24"/>
                <w:szCs w:val="24"/>
                <w:vertAlign w:val="superscript"/>
              </w:rPr>
              <w:t>2</w:t>
            </w:r>
            <w:r>
              <w:rPr>
                <w:rFonts w:cs="Times New Roman" w:ascii="Times New Roman" w:hAnsi="Times New Roman"/>
                <w:color w:val="000000"/>
                <w:sz w:val="24"/>
                <w:szCs w:val="24"/>
              </w:rPr>
              <w:t>.</w:t>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проведения учетно-расчетных операций, осуществляемых субъектом критической информационной инфраструктуры, являющимся центральным депозитарием и регистратором финансовых транзакций, среднедневное количество ценных бумаг (ISIN) российских эмитентов, которые учитывались на счетах в центральном депозитарии (оцениваемые за последние 12 месяцев в тыс. штук)</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не является центральным депозитарием.</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10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 но менее 25</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25</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vertAlign w:val="superscript"/>
              </w:rPr>
            </w:pPr>
            <w:r>
              <w:rPr>
                <w:rFonts w:cs="Times New Roman" w:ascii="Times New Roman" w:hAnsi="Times New Roman"/>
                <w:color w:val="000000"/>
                <w:sz w:val="24"/>
                <w:szCs w:val="24"/>
              </w:rPr>
              <w:t>10</w:t>
            </w:r>
            <w:r>
              <w:rPr>
                <w:rFonts w:cs="Times New Roman" w:ascii="Times New Roman" w:hAnsi="Times New Roman"/>
                <w:color w:val="000000"/>
                <w:sz w:val="24"/>
                <w:szCs w:val="24"/>
                <w:vertAlign w:val="superscript"/>
              </w:rPr>
              <w:t>3</w:t>
            </w:r>
            <w:r>
              <w:rPr>
                <w:rFonts w:cs="Times New Roman" w:ascii="Times New Roman" w:hAnsi="Times New Roman"/>
                <w:color w:val="000000"/>
                <w:sz w:val="24"/>
                <w:szCs w:val="24"/>
              </w:rPr>
              <w:t>.</w:t>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проведения операций по выплатам, передаче и размещению денежных средств, осуществляемых субъектом критической информационной инфраструктуры, являющимся негосударственным пенсионным фондом, которые оцениваются объемом активов (суммой пенсионных накоплений и пенсионных резервов) негосударственного пенсионного фонда (млрд. рублей)</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не является негосударственным пенсионным фондом.</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50, но менее 1000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1000, но менее 2000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2000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vertAlign w:val="superscript"/>
              </w:rPr>
            </w:pPr>
            <w:r>
              <w:rPr>
                <w:rFonts w:cs="Times New Roman" w:ascii="Times New Roman" w:hAnsi="Times New Roman"/>
                <w:color w:val="000000"/>
                <w:sz w:val="24"/>
                <w:szCs w:val="24"/>
                <w:lang w:val="en-US"/>
              </w:rPr>
              <w:t>10</w:t>
            </w:r>
            <w:r>
              <w:rPr>
                <w:rFonts w:cs="Times New Roman" w:ascii="Times New Roman" w:hAnsi="Times New Roman"/>
                <w:color w:val="000000"/>
                <w:sz w:val="24"/>
                <w:szCs w:val="24"/>
                <w:vertAlign w:val="superscript"/>
                <w:lang w:val="en-US"/>
              </w:rPr>
              <w:t>4</w:t>
            </w:r>
            <w:r>
              <w:rPr>
                <w:rFonts w:cs="Times New Roman" w:ascii="Times New Roman" w:hAnsi="Times New Roman"/>
                <w:color w:val="000000"/>
                <w:sz w:val="24"/>
                <w:szCs w:val="24"/>
                <w:vertAlign w:val="subscript"/>
              </w:rPr>
              <w:t>.</w:t>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проведения операций по выплатам, перестрахованию, инвестициям, осуществляемых субъектом критической информационной инфраструктуры, являющимся страховой организацией, которые оцениваются объемом активов страховой организации (млрд. рублей)</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не является страховой организацией.</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 но менее 1500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1500, но менее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vertAlign w:val="superscript"/>
              </w:rPr>
            </w:pPr>
            <w:r>
              <w:rPr>
                <w:rFonts w:cs="Times New Roman" w:ascii="Times New Roman" w:hAnsi="Times New Roman"/>
                <w:color w:val="000000"/>
                <w:sz w:val="24"/>
                <w:szCs w:val="24"/>
                <w:lang w:val="en-US"/>
              </w:rPr>
              <w:t>10</w:t>
            </w:r>
            <w:r>
              <w:rPr>
                <w:rFonts w:cs="Times New Roman" w:ascii="Times New Roman" w:hAnsi="Times New Roman"/>
                <w:color w:val="000000"/>
                <w:sz w:val="24"/>
                <w:szCs w:val="24"/>
                <w:vertAlign w:val="superscript"/>
              </w:rPr>
              <w:t>5</w:t>
            </w:r>
            <w:r>
              <w:rPr>
                <w:rFonts w:cs="Times New Roman" w:ascii="Times New Roman" w:hAnsi="Times New Roman"/>
                <w:color w:val="000000"/>
                <w:sz w:val="24"/>
                <w:szCs w:val="24"/>
                <w:vertAlign w:val="subscript"/>
              </w:rPr>
              <w:t>.</w:t>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выполнения функций по переводу денежных средств, осуществляемых субъектом критической информационной инфраструктуры, являющимся оператором услуг информационного обмена (некредитной организацией), который оценивается количеством заключенных договоров с кредитными организациями</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имеет договоры с более чем 150 кредитными организациями на обеспечение функций по переводу денежных средств (SMS-информирование, подтверждение операций, мобильный банкинг). Нарушение работы ядра сети LTE приведет к прекращению выполнения этих функций.</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25, но менее 100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 но менее 150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150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vertAlign w:val="superscript"/>
              </w:rPr>
            </w:pPr>
            <w:r>
              <w:rPr>
                <w:rFonts w:cs="Times New Roman" w:ascii="Times New Roman" w:hAnsi="Times New Roman"/>
                <w:color w:val="000000"/>
                <w:sz w:val="24"/>
                <w:szCs w:val="24"/>
              </w:rPr>
              <w:t>10</w:t>
            </w:r>
            <w:r>
              <w:rPr>
                <w:rFonts w:cs="Times New Roman" w:ascii="Times New Roman" w:hAnsi="Times New Roman"/>
                <w:color w:val="000000"/>
                <w:sz w:val="24"/>
                <w:szCs w:val="24"/>
                <w:vertAlign w:val="superscript"/>
              </w:rPr>
              <w:t>6</w:t>
            </w:r>
            <w:r>
              <w:rPr>
                <w:rFonts w:cs="Times New Roman" w:ascii="Times New Roman" w:hAnsi="Times New Roman"/>
                <w:color w:val="000000"/>
                <w:sz w:val="24"/>
                <w:szCs w:val="24"/>
              </w:rPr>
              <w:t>.</w:t>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выполнения деятельности по предоставлению потребительских займов субъектом критической информационной инфраструктуры, являющимся микрофинансовой компанией, которые оцениваются суммой микрозаймов, выданных за годовой отчетный период (млрд. рублей)</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ab/>
              <w:t>ПАО "МегаФон" не является микрофинансовой компанией.</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 но менее 1000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1000, но менее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vertAlign w:val="superscript"/>
              </w:rPr>
            </w:pPr>
            <w:r>
              <w:rPr>
                <w:rFonts w:cs="Times New Roman" w:ascii="Times New Roman" w:hAnsi="Times New Roman"/>
                <w:color w:val="000000"/>
                <w:sz w:val="24"/>
                <w:szCs w:val="24"/>
              </w:rPr>
              <w:t>10</w:t>
            </w:r>
            <w:r>
              <w:rPr>
                <w:rFonts w:cs="Times New Roman" w:ascii="Times New Roman" w:hAnsi="Times New Roman"/>
                <w:color w:val="000000"/>
                <w:sz w:val="24"/>
                <w:szCs w:val="24"/>
                <w:vertAlign w:val="superscript"/>
              </w:rPr>
              <w:t>7</w:t>
            </w:r>
            <w:r>
              <w:rPr>
                <w:rFonts w:cs="Times New Roman" w:ascii="Times New Roman" w:hAnsi="Times New Roman"/>
                <w:color w:val="000000"/>
                <w:sz w:val="24"/>
                <w:szCs w:val="24"/>
              </w:rPr>
              <w:t>.</w:t>
            </w:r>
          </w:p>
        </w:tc>
        <w:tc>
          <w:tcPr>
            <w:tcW w:w="3070"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 xml:space="preserve">Прекращение или нарушение предоставления пользователям кредитных историй и субъектам кредитных историй услуг, предусмотренных </w:t>
            </w:r>
            <w:hyperlink r:id="rId2">
              <w:r>
                <w:rPr>
                  <w:rStyle w:val="Style9"/>
                  <w:rFonts w:cs="Times New Roman" w:ascii="Times New Roman" w:hAnsi="Times New Roman"/>
                  <w:color w:val="000000"/>
                  <w:sz w:val="24"/>
                  <w:szCs w:val="24"/>
                </w:rPr>
                <w:t>Федеральным законом</w:t>
              </w:r>
            </w:hyperlink>
            <w:r>
              <w:rPr>
                <w:rFonts w:cs="Times New Roman" w:ascii="Times New Roman" w:hAnsi="Times New Roman"/>
                <w:color w:val="000000"/>
                <w:sz w:val="24"/>
                <w:szCs w:val="24"/>
              </w:rPr>
              <w:t xml:space="preserve"> "О кредитных историях", субъектом критической информационной инфраструктуры, являющимся бюро кредитных историй, которые оцениваются количеством кредитных историй, хранящихся в бюро кредитных историй (млн. единиц)</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ПАО "МегаФон" не является бюро кредитных историй.</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30, но менее 200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200, но менее 500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500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14570" w:type="dxa"/>
            <w:gridSpan w:val="6"/>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IV. Экологическая значимость</w:t>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11.</w:t>
            </w:r>
          </w:p>
        </w:tc>
        <w:tc>
          <w:tcPr>
            <w:tcW w:w="9724"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Вредные воздействия на окружающую среду, оцениваемые:</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Инфраструктура объекта КИИ (серверные, ЦОД) не оказывает вредного воздействия на окружающую среду .</w:t>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ab/>
              <w:t>Вредные воздействия отсутствуют.</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а) на территории, на которой окружающая среда может подвергнуться вредным воздействиям</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 пределах территории одного муниципального образования (численностью от 2 тыс. чел.) или одной внутригородской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выход за пределы территории одного муниципального образования (численностью от 2 тыс. чел.)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выход за пределы территории одного субъекта Российской Федерации или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 количеству людей, которые могут быть подвержены вредным воздействиям (тыс. человек)</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2, но менее 1000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1000, но менее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или равно 5000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14570" w:type="dxa"/>
            <w:gridSpan w:val="6"/>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keepNext w:val="true"/>
              <w:keepLines/>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b/>
                <w:bCs/>
                <w:color w:val="000000"/>
                <w:sz w:val="24"/>
                <w:szCs w:val="24"/>
              </w:rPr>
            </w:pPr>
            <w:r>
              <w:rPr>
                <w:rFonts w:cs="Times New Roman" w:ascii="Times New Roman" w:hAnsi="Times New Roman"/>
                <w:b/>
                <w:bCs/>
                <w:color w:val="000000"/>
                <w:sz w:val="24"/>
                <w:szCs w:val="24"/>
              </w:rPr>
              <w:t>V. Значимость для обеспечения обороны страны, безопасности государства и правопорядка</w:t>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12.</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(невыполнение установленных показателей) пункта управления (ситуационного центра), оцениваемые в уровне (значимости) пункта управления или ситуационного центра</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ab/>
              <w:t>Объект КИИ не является пунктом управления или ситуационным центром.</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пункта управления или ситуационного центра органа государственной власти субъекта Российской Федерации или города федерального значения</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пункта управления или ситуационного центра федерального органа государственной власти или государственной корпорации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пункта управления государством или ситуационного центра Администрации Президента Российской Федерации, Правительства Российской Федерации, Федерального Собрания Российской Федерации, Совета Безопасности Российской Федерации, Верховного Суда Российской Федерации, Конституционного Суда Российской Федерации</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13.</w:t>
            </w:r>
          </w:p>
        </w:tc>
        <w:tc>
          <w:tcPr>
            <w:tcW w:w="9724"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В открытых источниках нет информации о том, что ПАО "МегаФон" выполняет государственный оборонный заказ в части, касающейся данного объекта КИИ.</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а) в снижении объемов продукции (работ, услуг) в заданный период времени (процентов заданного объема продукции)</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0, но менее или равно 10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10, но менее или равно 15</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15</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 в увеличении времени изготовления единицы продукции с заданным объемом (процентов установленного времени на изготовление единицы продукции)</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0, но менее или равно 10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10, но менее или равно 40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более 40</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13</w:t>
            </w:r>
            <w:r>
              <w:rPr>
                <w:rFonts w:cs="Times New Roman" w:ascii="Times New Roman" w:hAnsi="Times New Roman"/>
                <w:color w:val="000000"/>
                <w:sz w:val="24"/>
                <w:szCs w:val="24"/>
                <w:vertAlign w:val="superscript"/>
              </w:rPr>
              <w:t>1</w:t>
            </w:r>
            <w:r>
              <w:rPr>
                <w:rFonts w:cs="Times New Roman" w:ascii="Times New Roman" w:hAnsi="Times New Roman"/>
                <w:color w:val="000000"/>
                <w:sz w:val="24"/>
                <w:szCs w:val="24"/>
              </w:rPr>
              <w:t>.</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 по его статусу в кооперации головного исполнителя поставок продукции по государственному оборонному заказу</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В открытых источниках нет информации о том, что ПАО "МегаФон" выполняет государственный оборонный заказ в части, касающейся данного объекта КИИ.</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соисполнитель, субподрядчик или поставщик части продукции, работ и услуг в рамках контракта по государственному оборонному заказу совместно с исполнителем, заключившим контракт с головным исполнителем государственного оборонного заказа</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исполнитель контракта по государственному оборонному заказу, заключивший контракт с головным исполнителем государственного оборонного заказа</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головной исполнитель поставок продукции, работ и услуг по государственному оборонному заказу</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14.</w:t>
            </w:r>
          </w:p>
        </w:tc>
        <w:tc>
          <w:tcPr>
            <w:tcW w:w="307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Прекращение или нарушение функционирования (невыполнение установленных показателей) информационной системы в области обеспечения обороны страны, безопасности государства и правопорядка, оцениваемые в максимально допустимом времени, в течение которого информационная система может быть недоступна пользователю (часов)</w:t>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показатель критерия значимости и его значения неприменимы или не соответствует ни одному показателю критериев значимости и их значениям</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restart"/>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Ядро сети LTE обеспечивает работу информационных систем специального назначения, используемых для обеспечения обороны страны и безопасности государства. Максимально допустимое время простоя для таких систем составляет менее 1 часа, что соответствует I категории.</w:t>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или равно 4, но более 2</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или равно 2, но более 1</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нет</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r>
        <w:trPr/>
        <w:tc>
          <w:tcPr>
            <w:tcW w:w="661"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070"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vAlign w:val="cente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69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rPr>
                <w:rFonts w:ascii="Times New Roman" w:hAnsi="Times New Roman" w:cs="Times New Roman"/>
                <w:color w:val="000000"/>
                <w:sz w:val="24"/>
                <w:szCs w:val="24"/>
              </w:rPr>
            </w:pPr>
            <w:r>
              <w:rPr>
                <w:rFonts w:cs="Times New Roman" w:ascii="Times New Roman" w:hAnsi="Times New Roman"/>
                <w:color w:val="000000"/>
                <w:sz w:val="24"/>
                <w:szCs w:val="24"/>
              </w:rPr>
              <w:t>менее или равно 1</w:t>
            </w:r>
          </w:p>
        </w:tc>
        <w:tc>
          <w:tcPr>
            <w:tcW w:w="1239"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I</w:t>
            </w:r>
          </w:p>
        </w:tc>
        <w:tc>
          <w:tcPr>
            <w:tcW w:w="1716" w:type="dxa"/>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t>да</w:t>
            </w:r>
          </w:p>
        </w:tc>
        <w:tc>
          <w:tcPr>
            <w:tcW w:w="4185" w:type="dxa"/>
            <w:vMerge w:val="continue"/>
            <w:tcBorders>
              <w:top w:val="single" w:sz="4" w:space="0" w:color="000000"/>
              <w:start w:val="single" w:sz="4" w:space="0" w:color="000000"/>
              <w:bottom w:val="single" w:sz="4" w:space="0" w:color="000000"/>
              <w:end w:val="single" w:sz="4" w:space="0" w:color="000000"/>
            </w:tcBorders>
            <w:tcMar>
              <w:top w:w="57" w:type="dxa"/>
              <w:start w:w="57" w:type="dxa"/>
              <w:bottom w:w="57" w:type="dxa"/>
              <w:end w:w="57" w:type="dxa"/>
            </w:tcMar>
          </w:tcPr>
          <w:p>
            <w:pPr>
              <w:pStyle w:val="Normal"/>
              <w:tabs>
                <w:tab w:val="clear" w:pos="708"/>
                <w:tab w:val="left" w:pos="8080" w:leader="none"/>
                <w:tab w:val="left" w:pos="8222" w:leader="none"/>
                <w:tab w:val="left" w:pos="9072" w:leader="none"/>
              </w:tabs>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r>
    </w:tbl>
    <w:p>
      <w:pPr>
        <w:pStyle w:val="Normal"/>
        <w:widowControl/>
        <w:bidi w:val="0"/>
        <w:spacing w:lineRule="auto" w:line="259" w:before="0" w:after="160"/>
        <w:jc w:val="start"/>
        <w:rPr/>
      </w:pPr>
      <w:r>
        <w:rPr/>
      </w:r>
    </w:p>
    <w:sectPr>
      <w:headerReference w:type="even" r:id="rId3"/>
      <w:headerReference w:type="default" r:id="rId4"/>
      <w:headerReference w:type="first" r:id="rId5"/>
      <w:type w:val="nextPage"/>
      <w:pgSz w:orient="landscape" w:w="16838" w:h="11906"/>
      <w:pgMar w:left="1134" w:right="1134" w:gutter="0" w:header="708" w:top="1701" w:footer="0"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Liberation Sans">
    <w:altName w:val="Arial"/>
    <w:charset w:val="cc" w:characterSet="windows-1251"/>
    <w:family w:val="swiss"/>
    <w:pitch w:val="variable"/>
  </w:font>
  <w:font w:name="Times New Roman">
    <w:charset w:val="cc" w:characterSet="windows-125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20911074"/>
      <w:docPartObj>
        <w:docPartGallery w:val="Page Numbers (Top of Page)"/>
        <w:docPartUnique w:val="true"/>
      </w:docPartObj>
    </w:sdtPr>
    <w:sdtContent>
      <w:p>
        <w:pPr>
          <w:pStyle w:val="Head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23</w:t>
        </w:r>
        <w:r>
          <w:rPr>
            <w:rFonts w:cs="Times New Roman" w:ascii="Times New Roman" w:hAnsi="Times New Roman"/>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Абзац списка Знак"/>
    <w:link w:val="ListParagraph"/>
    <w:uiPriority w:val="34"/>
    <w:qFormat/>
    <w:locked/>
    <w:rsid w:val="00ef58ef"/>
    <w:rPr/>
  </w:style>
  <w:style w:type="character" w:styleId="Style15" w:customStyle="1">
    <w:name w:val="Верхний колонтитул Знак"/>
    <w:basedOn w:val="DefaultParagraphFont"/>
    <w:uiPriority w:val="99"/>
    <w:qFormat/>
    <w:rsid w:val="0049050c"/>
    <w:rPr/>
  </w:style>
  <w:style w:type="character" w:styleId="Style16" w:customStyle="1">
    <w:name w:val="Нижний колонтитул Знак"/>
    <w:basedOn w:val="DefaultParagraphFont"/>
    <w:uiPriority w:val="99"/>
    <w:qFormat/>
    <w:rsid w:val="0049050c"/>
    <w:rPr/>
  </w:style>
  <w:style w:type="character" w:styleId="Hyperlink">
    <w:name w:val="Hyperlink"/>
    <w:rPr>
      <w:color w:val="000080"/>
      <w:u w:val="single"/>
    </w:rPr>
  </w:style>
  <w:style w:type="character" w:styleId="Strong">
    <w:name w:val="Strong"/>
    <w:qFormat/>
    <w:rPr>
      <w:b/>
      <w:bCs/>
    </w:rPr>
  </w:style>
  <w:style w:type="paragraph" w:styleId="Style17">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4b3037"/>
    <w:pPr>
      <w:spacing w:lineRule="auto" w:line="240" w:before="0" w:after="200"/>
    </w:pPr>
    <w:rPr>
      <w:i/>
      <w:iCs/>
      <w:color w:themeColor="text2" w:val="44546A"/>
      <w:sz w:val="18"/>
      <w:szCs w:val="18"/>
    </w:rPr>
  </w:style>
  <w:style w:type="paragraph" w:styleId="Style18">
    <w:name w:val="Указатель"/>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ListParagraph">
    <w:name w:val="List Paragraph"/>
    <w:basedOn w:val="Normal"/>
    <w:link w:val="Style14"/>
    <w:uiPriority w:val="34"/>
    <w:qFormat/>
    <w:rsid w:val="00ef58ef"/>
    <w:pPr>
      <w:spacing w:before="0" w:after="160"/>
      <w:ind w:start="720"/>
      <w:contextualSpacing/>
    </w:pPr>
    <w:rPr/>
  </w:style>
  <w:style w:type="paragraph" w:styleId="user2">
    <w:name w:val="Колонтитулы (user)"/>
    <w:basedOn w:val="Normal"/>
    <w:qFormat/>
    <w:pPr/>
    <w:rPr/>
  </w:style>
  <w:style w:type="paragraph" w:styleId="Style19">
    <w:name w:val="Колонтитулы"/>
    <w:basedOn w:val="Normal"/>
    <w:qFormat/>
    <w:pPr/>
    <w:rPr/>
  </w:style>
  <w:style w:type="paragraph" w:styleId="Header">
    <w:name w:val="header"/>
    <w:basedOn w:val="Normal"/>
    <w:link w:val="Style15"/>
    <w:uiPriority w:val="99"/>
    <w:unhideWhenUsed/>
    <w:rsid w:val="0049050c"/>
    <w:pPr>
      <w:tabs>
        <w:tab w:val="clear" w:pos="708"/>
        <w:tab w:val="center" w:pos="4677" w:leader="none"/>
        <w:tab w:val="right" w:pos="9355" w:leader="none"/>
      </w:tabs>
      <w:spacing w:lineRule="auto" w:line="240" w:before="0" w:after="0"/>
    </w:pPr>
    <w:rPr/>
  </w:style>
  <w:style w:type="paragraph" w:styleId="Footer">
    <w:name w:val="footer"/>
    <w:basedOn w:val="Normal"/>
    <w:link w:val="Style16"/>
    <w:uiPriority w:val="99"/>
    <w:unhideWhenUsed/>
    <w:rsid w:val="0049050c"/>
    <w:pPr>
      <w:tabs>
        <w:tab w:val="clear" w:pos="708"/>
        <w:tab w:val="center" w:pos="4677" w:leader="none"/>
        <w:tab w:val="right" w:pos="9355" w:leader="none"/>
      </w:tabs>
      <w:spacing w:lineRule="auto" w:line="240" w:before="0" w:after="0"/>
    </w:pPr>
    <w:rPr/>
  </w:style>
  <w:style w:type="numbering" w:styleId="user3"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vo.garant.ru/document/redirect/12138288/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5F0DD-BFF5-4290-933F-A40418C2B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Application>LibreOffice/26.2.0.3$Windows_X86_64 LibreOffice_project/620$Build-3</Application>
  <AppVersion>15.0000</AppVersion>
  <Pages>23</Pages>
  <Words>3168</Words>
  <Characters>21671</Characters>
  <CharactersWithSpaces>24409</CharactersWithSpaces>
  <Paragraphs>465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2026-03-11T07:43:00Z</dcterms:created>
  <dc:creator>Назаров Иван Андреевич</dc:creator>
  <dc:description/>
  <dc:language>ru-RU</dc:language>
  <cp:lastModifiedBy/>
  <dcterms:modified xsi:type="dcterms:W3CDTF">2026-03-17T13:01:13Z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