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0"/>
        </w:numPr>
        <w:spacing w:before="240" w:after="120"/>
        <w:ind w:hanging="0" w:start="0"/>
        <w:rPr>
          <w:rFonts w:ascii="Times New Roman" w:hAnsi="Times New Roman" w:eastAsia="Calibri" w:cs="Calibri"/>
          <w:sz w:val="28"/>
          <w:szCs w:val="22"/>
        </w:rPr>
      </w:pPr>
      <w:r>
        <w:rPr>
          <w:rFonts w:eastAsia="Calibri" w:cs="Calibri" w:ascii="Times New Roman" w:hAnsi="Times New Roman"/>
          <w:sz w:val="28"/>
          <w:szCs w:val="22"/>
        </w:rPr>
        <w:t>Доклад: Обеспечение информационной безопасности значимых объектов критической информационной инфраструктуры в сфере энергетики</w:t>
      </w:r>
    </w:p>
    <w:p>
      <w:pPr>
        <w:pStyle w:val="BodyText"/>
        <w:spacing w:before="240" w:after="120"/>
        <w:ind w:firstLine="709" w:start="0" w:end="0"/>
        <w:rPr/>
      </w:pPr>
      <w:r>
        <w:rPr/>
        <w:t>Обеспечение информационной безопасности значимых объектов критической информационной инфраструктуры (КИИ) в энергетике играет решающую роль в поддержании стабильности национальной энергосистемы и предотвращении катастрофических сбоев. В условиях цифровизации отрасли защита от киберугроз становится стратегическим приоритетом, определяющим устойчивость экономики и безопасность общества.rum.cis-ees+1</w:t>
      </w:r>
    </w:p>
    <w:p>
      <w:pPr>
        <w:pStyle w:val="Heading2"/>
        <w:widowControl w:val="false"/>
        <w:spacing w:lineRule="auto" w:line="276" w:before="240" w:after="120"/>
        <w:ind w:hanging="0" w:start="0" w:end="0"/>
        <w:jc w:val="both"/>
        <w:rPr>
          <w:rFonts w:eastAsia="Calibri" w:cs="Calibri"/>
          <w:color w:val="000000"/>
          <w:szCs w:val="22"/>
        </w:rPr>
      </w:pPr>
      <w:bookmarkStart w:id="0" w:name="1"/>
      <w:bookmarkEnd w:id="0"/>
      <w:r>
        <w:rPr>
          <w:rFonts w:eastAsia="Calibri" w:cs="Calibri"/>
          <w:color w:val="000000"/>
          <w:szCs w:val="22"/>
        </w:rPr>
        <w:t>1. Нормативно-правовая база защиты КИИ в энергетике</w:t>
      </w:r>
    </w:p>
    <w:p>
      <w:pPr>
        <w:pStyle w:val="BodyText"/>
        <w:spacing w:before="240" w:after="120"/>
        <w:ind w:firstLine="709" w:start="0" w:end="0"/>
        <w:rPr/>
      </w:pPr>
      <w:r>
        <w:rPr/>
        <w:t>Нормативно-правовая база защиты КИИ в энергетике формируется на федеральном уровне и ориентирована на минимизацию рисков для объектов, от которых зависит жизнедеятельность государства. Федеральный закон от 26.07.2017 № 187-ФЗ "О безопасности критической информационной инфраструктуры Российской Федерации" устанавливает общие принципы категорирования объектов КИИ, обязанности владельцев по обеспечению безопасности и координацию с государственными органами, включая ФСТЭК России и ФСБ. Этот закон обязывает субъекты энергетики выявлять значимые объекты, разрабатывать меры защиты и сообщать о инцидентах в национальную систему обнаружения, предупреждения и ликвидации последствий компьютерных атак.docs.cntd+1</w:t>
      </w:r>
    </w:p>
    <w:p>
      <w:pPr>
        <w:pStyle w:val="BodyText"/>
        <w:spacing w:before="240" w:after="120"/>
        <w:ind w:firstLine="709" w:start="0" w:end="0"/>
        <w:rPr/>
      </w:pPr>
      <w:r>
        <w:rPr/>
        <w:t>Дополняют базовый закон подзаконные акты, утвержденные уполномоченными ведомствами. Приказ ФСТЭК России от 25.12.2017 № 239 "Об утверждении Требований по обеспечению безопасности значимых объектов критической информационной инфраструктуры" определяет уровни защищенности (от I до III), меры по защите от несанкционированного доступа, вредоносного ПО и нарушений целостности данных, а также требования к системам обнаружения вторжений. В энергетике действуют отраслевые дополнения: Приказ Минэнерго России от 26.12.2023 № 1215 вводит специфические требования к защите трафика дистанционного управления технологическими процессами, организации защищенных каналов связи между диспетчерскими центрами и объектами, а также контролю за программно-аппаратными средствами (ПАС) АСУ ТП.nkprom+3</w:t>
      </w:r>
    </w:p>
    <w:p>
      <w:pPr>
        <w:pStyle w:val="BodyText"/>
        <w:spacing w:before="240" w:after="120"/>
        <w:ind w:firstLine="709" w:start="0" w:end="0"/>
        <w:rPr/>
      </w:pPr>
      <w:r>
        <w:rPr/>
        <w:t>Методические рекомендации, такие как документ Минэнерго от 31.07.2019 по определению и категорированию объектов КИИ топливно-энергетического комплекса, предоставляют алгоритмы оценки значимости объектов на основе критериев воздействия на энергоснабжение, экономику и общественную безопасность. Кроме того, Постановление Правительства РФ № 127 от 08.02.2018 регулирует взаимодействие владельцев КИИ с государственными системами мониторинга. В 2024–2025 годах база расширилась: утверждены дополнительные требования к межсетевым экранам, криптографической защите и аудиту схем сетей, что усиливает контроль за иностранным ПО и оборудованием. На региональном уровне субъекты РФ, включая Тульскую область, интегрируют федеральные нормы в локальные программы, учитывая специфику местных энергосетей. Соблюдение этой базы подтверждается обязательной сертификацией средств защиты и ежегодными проверками ФСТЭК, с административной и уголовной ответственностью за нарушения.garant+3</w:t>
      </w:r>
    </w:p>
    <w:p>
      <w:pPr>
        <w:pStyle w:val="Heading2"/>
        <w:widowControl w:val="false"/>
        <w:spacing w:lineRule="auto" w:line="276" w:before="240" w:after="120"/>
        <w:ind w:hanging="0" w:start="0" w:end="0"/>
        <w:jc w:val="both"/>
        <w:rPr>
          <w:rFonts w:eastAsia="Calibri" w:cs="Calibri"/>
          <w:color w:val="000000"/>
          <w:szCs w:val="22"/>
        </w:rPr>
      </w:pPr>
      <w:bookmarkStart w:id="1" w:name="2"/>
      <w:bookmarkEnd w:id="1"/>
      <w:r>
        <w:rPr>
          <w:rFonts w:eastAsia="Calibri" w:cs="Calibri"/>
          <w:color w:val="000000"/>
          <w:szCs w:val="22"/>
        </w:rPr>
        <w:t>2. Ключевые элементы системы защиты</w:t>
      </w:r>
    </w:p>
    <w:p>
      <w:pPr>
        <w:pStyle w:val="BodyText"/>
        <w:spacing w:before="240" w:after="120"/>
        <w:ind w:firstLine="709" w:start="0" w:end="0"/>
        <w:rPr/>
      </w:pPr>
      <w:r>
        <w:rPr/>
        <w:t>Система защиты значимых объектов КИИ в энергетике представляет собой многоуровневый комплекс организационных, технических и правовых мер, интегрированных для предотвращения, обнаружения и реагирования на угрозы. Организационные элементы включают создание служб ИБ на предприятиях, разработку моделей угроз, планов локализации и ликвидации последствий инцидентов, а также регулярное обучение персонала методам противодействия социальной инженерии и инсайдерским угрозам. Владельцы обязаны проводить ежеквартальную категоризацию объектов, аудит конфигураций сетей и тестирование на проникновение, с обязательным обменом данными через отраслевую систему ГосСОПКА.diplom-it+1</w:t>
      </w:r>
    </w:p>
    <w:p>
      <w:pPr>
        <w:pStyle w:val="BodyText"/>
        <w:spacing w:before="240" w:after="120"/>
        <w:ind w:firstLine="709" w:start="0" w:end="0"/>
        <w:rPr/>
      </w:pPr>
      <w:r>
        <w:rPr/>
        <w:t>Технические меры фокусируются на защите ключевых сегментов: АСУ ТП, систем диспетчерского управления и сетей передачи данных. Основные компоненты — межсетевые экраны (NGFW) для сегментации трафика, системы обнаружения вторжений (IDS/IPS), средства криптографической защиты информации (СКЗИ) для шифрования команд дистанционного управления и мониторинга целостности ПО. В электроэнергетике предусмотрена дифференцированная защита: для трафика реального времени используются выделенные защищенные каналы с сертифицированными СКЗИ, а для ПАС — контроль версий и запрет на несанкционированные обновления. Резервное копирование, дублирование критических систем и системы непрерывного мониторинга (SIEM) обеспечивают восстановление после атак.energy.ipu+2</w:t>
      </w:r>
    </w:p>
    <w:p>
      <w:pPr>
        <w:pStyle w:val="BodyText"/>
        <w:spacing w:before="240" w:after="120"/>
        <w:ind w:firstLine="709" w:start="0" w:end="0"/>
        <w:rPr/>
      </w:pPr>
      <w:r>
        <w:rPr/>
        <w:t>Интеграция элементов реализуется через архитектуру "defense-in-depth": периметровая защита (firewall, VPN), внутренняя сегментация (DLP, EDR), облачные сервисы для анализа угроз и ИИ-системы предиктивного моделирования. Практика показывает эффективность: внедрение комплексных СЗИ на объектах снижает время реакции на инциденты до 30 минут и уменьшает ущерб на 70–80%. Координация с ФСБ и Росгвардией через ГосСОПКА позволяет оперативно обмениваться индикаторами компрометации (IoC), усиливая коллективную защиту отрасли.kmi+1</w:t>
      </w:r>
    </w:p>
    <w:p>
      <w:pPr>
        <w:pStyle w:val="Heading2"/>
        <w:widowControl w:val="false"/>
        <w:spacing w:lineRule="auto" w:line="276" w:before="240" w:after="120"/>
        <w:ind w:hanging="0" w:start="0" w:end="0"/>
        <w:jc w:val="both"/>
        <w:rPr>
          <w:rFonts w:eastAsia="Calibri" w:cs="Calibri"/>
          <w:color w:val="000000"/>
          <w:szCs w:val="22"/>
        </w:rPr>
      </w:pPr>
      <w:bookmarkStart w:id="2" w:name="3"/>
      <w:bookmarkEnd w:id="2"/>
      <w:r>
        <w:rPr>
          <w:rFonts w:eastAsia="Calibri" w:cs="Calibri"/>
          <w:color w:val="000000"/>
          <w:szCs w:val="22"/>
        </w:rPr>
        <w:t>3. Новые вызовы и перспективы развития</w:t>
      </w:r>
    </w:p>
    <w:p>
      <w:pPr>
        <w:pStyle w:val="BodyText"/>
        <w:spacing w:before="240" w:after="120"/>
        <w:ind w:firstLine="709" w:start="0" w:end="0"/>
        <w:rPr/>
      </w:pPr>
      <w:r>
        <w:rPr/>
        <w:t>В 2025–2026 годах энергетика сталкивается с новыми вызовами: ростом атак на цепочки поставок (supply chain attacks), интеграцией ИИ в АСУ ТП и уязвимостями "умных" сетей (Smart Grid). Киберугрозы эволюционируют — от DDoS и ransomware до APT-групп, нацеленных на отключение подстанций, как в инцидентах 2024 года в европейских сетях. Иностранное ПО (например, SCADA-системы Siemens, Schneider) несет риски бэкдоров, а дефицит квалифицированных кадров усугубляет проблему. В России актуальны угрозы от геополитических акторов, использующих zero-day эксплойты против импортозамещающих решений.diplom-it+1</w:t>
      </w:r>
    </w:p>
    <w:p>
      <w:pPr>
        <w:pStyle w:val="BodyText"/>
        <w:spacing w:before="240" w:after="120"/>
        <w:ind w:firstLine="709" w:start="0" w:end="0"/>
        <w:rPr/>
      </w:pPr>
      <w:r>
        <w:rPr/>
        <w:t>Перспективы развития включают переход к постквантовой криптографии, блокчейн для верификации команд и автономные ИИ-системы обнаружения аномалий. Планируется полная импортозамещение ПАС к 2028 году с акцентом на российские платформы (например, "ЭнергоГарант", "Квант"). Внедрение национальной платформы кибербезопасности КИИ с машинным обучением позволит прогнозировать атаки с точностью 95%. Международное сотрудничество в БРИКС фокусируется на обмене стандартами, а в РФ ожидается обновление № 187-ФЗ с нормами по квантовым угрозам и ответственности за ИИ-атаки. Инвестиции в энергетику на ИБ вырастут на 40% к 2027 году, с пилотными проектами в ВИЭ и водородных сетях.bit.mephi+1</w:t>
      </w:r>
    </w:p>
    <w:p>
      <w:pPr>
        <w:pStyle w:val="Heading2"/>
        <w:widowControl w:val="false"/>
        <w:spacing w:lineRule="auto" w:line="276" w:before="240" w:after="120"/>
        <w:ind w:hanging="0" w:start="0" w:end="0"/>
        <w:jc w:val="both"/>
        <w:rPr>
          <w:rFonts w:eastAsia="Calibri" w:cs="Calibri"/>
          <w:color w:val="000000"/>
          <w:szCs w:val="22"/>
        </w:rPr>
      </w:pPr>
      <w:bookmarkStart w:id="3" w:name="4"/>
      <w:bookmarkEnd w:id="3"/>
      <w:r>
        <w:rPr>
          <w:rFonts w:eastAsia="Calibri" w:cs="Calibri"/>
          <w:color w:val="000000"/>
          <w:szCs w:val="22"/>
        </w:rPr>
        <w:t>4. Вывод</w:t>
      </w:r>
    </w:p>
    <w:p>
      <w:pPr>
        <w:pStyle w:val="BodyText"/>
        <w:spacing w:before="240" w:after="120"/>
        <w:ind w:firstLine="709" w:start="0" w:end="0"/>
        <w:rPr/>
      </w:pPr>
      <w:r>
        <w:rPr/>
        <w:t>Обеспечение ИБ значимых объектов КИИ в энергетике требует комплексного подхода, сочетающего строгую нормативную базу, надежные технические решения и адаптацию к новым угрозам. Эффективная реализация мер позволит минимизировать риски сбоев, обеспечив непрерывность энергоснабжения и национальную безопасность. Дальнейшее развитие отрасли зависит от инвестиций в инновации и кадровый резерв, что сделает российскую энергосистему устойчивой к любым вызовам цифровой эпохи.rum.cis-ees+3</w:t>
      </w:r>
    </w:p>
    <w:p>
      <w:pPr>
        <w:pStyle w:val="BodyText"/>
        <w:numPr>
          <w:ilvl w:val="0"/>
          <w:numId w:val="0"/>
        </w:numPr>
        <w:spacing w:before="240" w:after="120"/>
        <w:ind w:hanging="0" w:start="0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nsolas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33bdc"/>
    <w:pPr>
      <w:widowControl w:val="false"/>
      <w:suppressAutoHyphens w:val="true"/>
      <w:bidi w:val="0"/>
      <w:spacing w:lineRule="auto" w:line="360" w:before="0" w:after="0"/>
      <w:ind w:firstLine="709"/>
      <w:jc w:val="both"/>
    </w:pPr>
    <w:rPr>
      <w:rFonts w:ascii="Times New Roman" w:hAnsi="Times New Roman" w:eastAsia="Calibri" w:cs="Calibri"/>
      <w:color w:val="000000"/>
      <w:kern w:val="0"/>
      <w:sz w:val="28"/>
      <w:szCs w:val="22"/>
      <w:lang w:val="ru-RU" w:eastAsia="ru-RU" w:bidi="ar-SA"/>
    </w:rPr>
  </w:style>
  <w:style w:type="paragraph" w:styleId="Heading1">
    <w:name w:val="heading 1"/>
    <w:basedOn w:val="user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2"/>
    <w:autoRedefine/>
    <w:uiPriority w:val="9"/>
    <w:unhideWhenUsed/>
    <w:qFormat/>
    <w:rsid w:val="00da7312"/>
    <w:pPr>
      <w:keepNext w:val="true"/>
      <w:keepLines/>
      <w:widowControl/>
      <w:spacing w:before="40" w:after="0"/>
      <w:ind w:hanging="0"/>
      <w:jc w:val="center"/>
      <w:outlineLvl w:val="1"/>
    </w:pPr>
    <w:rPr>
      <w:rFonts w:eastAsia="" w:cs="" w:cstheme="majorBidi" w:eastAsiaTheme="majorEastAsia"/>
      <w:b/>
      <w:color w:val="auto"/>
      <w:szCs w:val="26"/>
    </w:rPr>
  </w:style>
  <w:style w:type="paragraph" w:styleId="Heading3">
    <w:name w:val="heading 3"/>
    <w:basedOn w:val="user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Подзаголовок Знак"/>
    <w:basedOn w:val="DefaultParagraphFont"/>
    <w:uiPriority w:val="11"/>
    <w:qFormat/>
    <w:rsid w:val="000e23ae"/>
    <w:rPr>
      <w:rFonts w:ascii="Times New Roman" w:hAnsi="Times New Roman" w:eastAsia="Calibri" w:eastAsiaTheme="minorHAnsi"/>
      <w:color w:themeColor="text1" w:val="000000"/>
      <w:sz w:val="24"/>
    </w:rPr>
  </w:style>
  <w:style w:type="character" w:styleId="Style12" w:customStyle="1">
    <w:name w:val="картинки Знак"/>
    <w:basedOn w:val="DefaultParagraphFont"/>
    <w:link w:val="Style15"/>
    <w:qFormat/>
    <w:rsid w:val="007c3c55"/>
    <w:rPr>
      <w:rFonts w:ascii="Times New Roman" w:hAnsi="Times New Roman" w:cs="Calibri"/>
      <w:iCs/>
      <w:color w:val="000000"/>
      <w:sz w:val="24"/>
    </w:rPr>
  </w:style>
  <w:style w:type="character" w:styleId="2" w:customStyle="1">
    <w:name w:val="Заголовок 2 Знак"/>
    <w:basedOn w:val="DefaultParagraphFont"/>
    <w:uiPriority w:val="9"/>
    <w:qFormat/>
    <w:rsid w:val="00da7312"/>
    <w:rPr>
      <w:rFonts w:ascii="Times New Roman" w:hAnsi="Times New Roman" w:eastAsia="" w:cs="" w:cstheme="majorBidi" w:eastAsiaTheme="majorEastAsia"/>
      <w:b/>
      <w:sz w:val="28"/>
      <w:szCs w:val="26"/>
      <w:lang w:eastAsia="ru-RU"/>
    </w:rPr>
  </w:style>
  <w:style w:type="character" w:styleId="Hyperlink">
    <w:name w:val="Hyperlink"/>
    <w:basedOn w:val="DefaultParagraphFont"/>
    <w:uiPriority w:val="99"/>
    <w:unhideWhenUsed/>
    <w:rsid w:val="00ce18e0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ce18e0"/>
    <w:rPr>
      <w:color w:val="605E5C"/>
      <w:shd w:fill="E1DFDD" w:val="clear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18e0"/>
    <w:rPr>
      <w:rFonts w:ascii="Consolas" w:hAnsi="Consolas" w:cs="Calibri"/>
      <w:color w:val="000000"/>
      <w:sz w:val="20"/>
      <w:szCs w:val="20"/>
      <w:lang w:eastAsia="ru-RU"/>
    </w:rPr>
  </w:style>
  <w:style w:type="character" w:styleId="user">
    <w:name w:val="Маркеры (user)"/>
    <w:qFormat/>
    <w:rPr>
      <w:rFonts w:ascii="OpenSymbol" w:hAnsi="OpenSymbol" w:eastAsia="OpenSymbol" w:cs="OpenSymbol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Arial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Arial"/>
    </w:rPr>
  </w:style>
  <w:style w:type="paragraph" w:styleId="Subtitle">
    <w:name w:val="Subtitle"/>
    <w:basedOn w:val="Normal"/>
    <w:next w:val="Normal"/>
    <w:link w:val="Style11"/>
    <w:autoRedefine/>
    <w:uiPriority w:val="11"/>
    <w:qFormat/>
    <w:rsid w:val="000e23ae"/>
    <w:pPr>
      <w:widowControl/>
      <w:ind w:firstLine="709"/>
      <w:jc w:val="center"/>
    </w:pPr>
    <w:rPr>
      <w:rFonts w:eastAsia="Calibri" w:cs="" w:cstheme="minorBidi" w:eastAsiaTheme="minorHAnsi"/>
      <w:color w:themeColor="text1" w:val="000000"/>
      <w:sz w:val="24"/>
      <w:lang w:eastAsia="en-US"/>
    </w:rPr>
  </w:style>
  <w:style w:type="paragraph" w:styleId="Style15" w:customStyle="1">
    <w:name w:val="картинки"/>
    <w:basedOn w:val="Normal"/>
    <w:link w:val="Style12"/>
    <w:autoRedefine/>
    <w:qFormat/>
    <w:rsid w:val="007c3c55"/>
    <w:pPr>
      <w:widowControl/>
      <w:spacing w:before="0" w:after="160"/>
      <w:ind w:hanging="0"/>
      <w:jc w:val="center"/>
    </w:pPr>
    <w:rPr>
      <w:iCs/>
      <w:sz w:val="24"/>
      <w:lang w:eastAsia="en-US"/>
    </w:rPr>
  </w:style>
  <w:style w:type="paragraph" w:styleId="ListParagraph">
    <w:name w:val="List Paragraph"/>
    <w:basedOn w:val="Normal"/>
    <w:uiPriority w:val="34"/>
    <w:qFormat/>
    <w:rsid w:val="003302f3"/>
    <w:pPr>
      <w:spacing w:before="0" w:after="0"/>
      <w:ind w:start="720"/>
      <w:contextualSpacing/>
    </w:pPr>
    <w:rPr/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18e0"/>
    <w:pPr>
      <w:spacing w:lineRule="auto" w:line="240"/>
    </w:pPr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95b36"/>
    <w:pPr>
      <w:widowControl/>
      <w:spacing w:lineRule="auto" w:line="240" w:beforeAutospacing="1" w:afterAutospacing="1"/>
      <w:ind w:hanging="0"/>
      <w:jc w:val="start"/>
    </w:pPr>
    <w:rPr>
      <w:rFonts w:eastAsia="Times New Roman" w:cs="Times New Roman"/>
      <w:color w:val="auto"/>
      <w:sz w:val="24"/>
      <w:szCs w:val="24"/>
    </w:rPr>
  </w:style>
  <w:style w:type="paragraph" w:styleId="user3">
    <w:name w:val="Горизонтальная линия (user)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1"/>
    <w:uiPriority w:val="39"/>
    <w:rsid w:val="003452e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Application>LibreOffice/26.2.0.3$Windows_X86_64 LibreOffice_project/620$Build-3</Application>
  <AppVersion>15.0000</AppVersion>
  <Pages>3</Pages>
  <Words>793</Words>
  <Characters>6058</Characters>
  <CharactersWithSpaces>6836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2025-12-03T15:44:00Z</dcterms:created>
  <dc:creator>lil_m1ck3y</dc:creator>
  <dc:description/>
  <dc:language>ru-RU</dc:language>
  <cp:lastModifiedBy/>
  <dcterms:modified xsi:type="dcterms:W3CDTF">2026-02-18T02:16:06Z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