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8E564" w14:textId="77777777" w:rsidR="00960B9A" w:rsidRDefault="00AF6E7E" w:rsidP="00AF6E7E">
      <w:pPr>
        <w:pStyle w:val="10"/>
        <w:spacing w:after="200" w:line="276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bookmarkStart w:id="0" w:name="_GoBack"/>
      <w:bookmarkEnd w:id="0"/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(практика по получению первичных профессиональных умений и навыков)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________________________________________________________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14:paraId="263845FB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(Фамилия, имя)</w:t>
      </w:r>
    </w:p>
    <w:p w14:paraId="57E16DC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____________________________________________________________________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363AAFC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</w:t>
      </w:r>
      <w:r w:rsidR="00C60D14">
        <w:rPr>
          <w:color w:val="000000"/>
          <w:sz w:val="22"/>
          <w:szCs w:val="22"/>
        </w:rPr>
        <w:t>ена» №_______________ «___» ____</w:t>
      </w:r>
      <w:r w:rsidR="00914035">
        <w:rPr>
          <w:color w:val="000000"/>
          <w:sz w:val="22"/>
          <w:szCs w:val="22"/>
        </w:rPr>
        <w:t>__20_</w:t>
      </w:r>
      <w:r>
        <w:rPr>
          <w:sz w:val="22"/>
          <w:szCs w:val="22"/>
        </w:rPr>
        <w:t xml:space="preserve">__ </w:t>
      </w:r>
      <w:r>
        <w:rPr>
          <w:color w:val="000000"/>
          <w:sz w:val="22"/>
          <w:szCs w:val="22"/>
        </w:rPr>
        <w:t xml:space="preserve"> г.</w:t>
      </w:r>
    </w:p>
    <w:p w14:paraId="210B3252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ссылка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774A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189A04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ссылка в отчете)</w:t>
            </w:r>
          </w:p>
          <w:p w14:paraId="27D79B0B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128977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774A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1.9. </w:t>
            </w:r>
            <w:r>
              <w:rPr>
                <w:color w:val="000000"/>
              </w:rPr>
              <w:t>Изучить Постановление Главного государственного санитарного врача РФ 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774A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План (текстовый документ)</w:t>
            </w:r>
          </w:p>
          <w:p w14:paraId="6E0367EE" w14:textId="77777777" w:rsidR="00960B9A" w:rsidRDefault="00AF6E7E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  <w:p w14:paraId="13B7141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ссылка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77777777" w:rsidR="00960B9A" w:rsidRDefault="00AF6E7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 xml:space="preserve">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2.2. Изучить и оценить профессиональный кодекс этики ACM, 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ссылка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</w:t>
            </w:r>
            <w:proofErr w:type="spellStart"/>
            <w:r>
              <w:t>одноранговая</w:t>
            </w:r>
            <w:proofErr w:type="spellEnd"/>
            <w:r>
              <w:t xml:space="preserve">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9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t xml:space="preserve">  в разделе, посвящённом результатам практики, а также в отчёте.</w:t>
            </w:r>
          </w:p>
          <w:p w14:paraId="71D7978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2F3EDD"/>
    <w:rsid w:val="004E471B"/>
    <w:rsid w:val="00774A98"/>
    <w:rsid w:val="00914035"/>
    <w:rsid w:val="00960B9A"/>
    <w:rsid w:val="00AF6E7E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odaktor.ru/ref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odle.herzen.spb.ru/course/view.php?id=6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егор стрижов</cp:lastModifiedBy>
  <cp:revision>6</cp:revision>
  <dcterms:created xsi:type="dcterms:W3CDTF">2019-10-07T11:21:00Z</dcterms:created>
  <dcterms:modified xsi:type="dcterms:W3CDTF">2020-02-14T11:25:00Z</dcterms:modified>
</cp:coreProperties>
</file>