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model-card-cgem_ext.surrogate"/>
    <w:p>
      <w:pPr>
        <w:pStyle w:val="Heading1"/>
      </w:pPr>
      <w:r>
        <w:t xml:space="preserve">Model card —</w:t>
      </w:r>
      <w:r>
        <w:t xml:space="preserve"> </w:t>
      </w:r>
      <w:r>
        <w:rPr>
          <w:rStyle w:val="VerbatimChar"/>
        </w:rPr>
        <w:t xml:space="preserve">cgem_ext.surrogate</w:t>
      </w:r>
    </w:p>
    <w:p>
      <w:pPr>
        <w:pStyle w:val="FirstParagraph"/>
      </w:pPr>
      <w:r>
        <w:t xml:space="preserve">Fast ML surrogate of the CAMI G-Effects Model (CGEM). Five per-target models bundled together: three two-stage (classifier + conditional regressor) for the right-censored time targets, two single-stage regressors for the continuous targets. A RandomForest baseline ships alongside for fair comparison; a Mondrian split-conformal layer turns the point predictions into per-maneuver-category prediction intervals.</w:t>
      </w:r>
    </w:p>
    <w:p>
      <w:pPr>
        <w:pStyle w:val="BodyText"/>
      </w:pPr>
      <w:r>
        <w:t xml:space="preserve">This card follows the framework of Mitchell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2019,</w:t>
      </w:r>
      <w:r>
        <w:t xml:space="preserve"> </w:t>
      </w:r>
      <w:hyperlink r:id="rId20">
        <w:r>
          <w:rPr>
            <w:rStyle w:val="Hyperlink"/>
            <w:iCs/>
            <w:i/>
          </w:rPr>
          <w:t xml:space="preserve">Model Cards for Model Reporting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intended-use"/>
    <w:p>
      <w:pPr>
        <w:pStyle w:val="Heading2"/>
      </w:pPr>
      <w:r>
        <w:t xml:space="preserve">Intended use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Primary</w:t>
      </w:r>
      <w:r>
        <w:t xml:space="preserve">: emulate CGEM ~10⁵× faster than direct subprocess invocation. Backs the FastAPI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 and the parametric</w:t>
      </w:r>
      <w:r>
        <w:t xml:space="preserve"> </w:t>
      </w:r>
      <w:r>
        <w:rPr>
          <w:rStyle w:val="VerbatimChar"/>
        </w:rPr>
        <w:t xml:space="preserve">/sweep</w:t>
      </w:r>
      <w:r>
        <w:t xml:space="preserve"> </w:t>
      </w:r>
      <w:r>
        <w:t xml:space="preserve">endpoint.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Secondary</w:t>
      </w:r>
      <w:r>
        <w:t xml:space="preserve">: drive the SALib Sobol study in Phase 4 (sensitivity rankings would otherwise be intractable on the Fortran subprocess).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pattern</w:t>
      </w:r>
      <w:r>
        <w:t xml:space="preserve">: each prediction is paired with the OOD</w:t>
      </w:r>
      <w:r>
        <w:t xml:space="preserve"> </w:t>
      </w:r>
      <w:r>
        <w:rPr>
          <w:rStyle w:val="VerbatimChar"/>
        </w:rPr>
        <w:t xml:space="preserve">is_in_envelope</w:t>
      </w:r>
      <w:r>
        <w:t xml:space="preserve"> </w:t>
      </w:r>
      <w:r>
        <w:t xml:space="preserve">flag (</w:t>
      </w:r>
      <w:r>
        <w:rPr>
          <w:rStyle w:val="VerbatimChar"/>
        </w:rPr>
        <w:t xml:space="preserve">cgem_ext.ood</w:t>
      </w:r>
      <w:r>
        <w:t xml:space="preserve">) and a Mondrian conformal interval. Downstream consumers should display all three: the point estimate, the interval, and the OOD flag.</w:t>
      </w:r>
      <w:r>
        <w:t xml:space="preserve"> </w:t>
      </w:r>
      <w:r>
        <w:rPr>
          <w:bCs/>
          <w:b/>
        </w:rPr>
        <w:t xml:space="preserve">The surrogate is not a substitute for direct CGEM</w:t>
      </w:r>
      <w:r>
        <w:t xml:space="preserve"> </w:t>
      </w:r>
      <w:r>
        <w:t xml:space="preserve">when an authoritative answer is required — that’s what</w:t>
      </w:r>
      <w:r>
        <w:t xml:space="preserve"> </w:t>
      </w:r>
      <w:r>
        <w:rPr>
          <w:rStyle w:val="VerbatimChar"/>
        </w:rPr>
        <w:t xml:space="preserve">/run-cgem</w:t>
      </w:r>
      <w:r>
        <w:t xml:space="preserve"> </w:t>
      </w:r>
      <w:r>
        <w:t xml:space="preserve">is for.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Not for</w:t>
      </w:r>
      <w:r>
        <w:t xml:space="preserve">: clinical decision-making on a real pilot. Synthetic-only validation; centrifuge validation is paper 3.</w:t>
      </w:r>
    </w:p>
    <w:p>
      <w:r>
        <w:pict>
          <v:rect style="width:0;height:1.5pt" o:hralign="center" o:hrstd="t" o:hr="t"/>
        </w:pict>
      </w:r>
    </w:p>
    <w:bookmarkEnd w:id="21"/>
    <w:bookmarkStart w:id="25" w:name="model-details"/>
    <w:p>
      <w:pPr>
        <w:pStyle w:val="Heading2"/>
      </w:pPr>
      <w:r>
        <w:t xml:space="preserve">Model details</w:t>
      </w:r>
    </w:p>
    <w:bookmarkStart w:id="22" w:name="targets"/>
    <w:p>
      <w:pPr>
        <w:pStyle w:val="Heading3"/>
      </w:pPr>
      <w:r>
        <w:t xml:space="preserve">Targets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Monotonicity prior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time_to_greyout_s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censored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(event) + regressor (time | event=1)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g_peak ↓ time, dgdt ↓ time, dehydration ↓ time, countermeasures ↑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time_to_blackout_s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censored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+ regressor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time_to_gloc_s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censored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+ regressor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regressor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g_peak ↓ HLAP, dehydration ↓ HLAP, countermeasures ↑ HLAP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c_bank_min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regressor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set + dgdt ↓ c_bank</w:t>
            </w:r>
          </w:p>
        </w:tc>
      </w:tr>
    </w:tbl>
    <w:p>
      <w:pPr>
        <w:pStyle w:val="BodyText"/>
      </w:pPr>
      <w:r>
        <w:t xml:space="preserve">Monotonicity vectors live in</w:t>
      </w:r>
      <w:r>
        <w:t xml:space="preserve"> </w:t>
      </w:r>
      <w:r>
        <w:rPr>
          <w:rStyle w:val="VerbatimChar"/>
        </w:rPr>
        <w:t xml:space="preserve">cgem_ext/surrogate/targets.py</w:t>
      </w:r>
      <w:r>
        <w:t xml:space="preserve"> </w:t>
      </w:r>
      <w:r>
        <w:t xml:space="preserve">and are passed to XGBoost via</w:t>
      </w:r>
      <w:r>
        <w:t xml:space="preserve"> </w:t>
      </w:r>
      <w:r>
        <w:rPr>
          <w:rStyle w:val="VerbatimChar"/>
        </w:rPr>
        <w:t xml:space="preserve">monotone_constraints</w:t>
      </w:r>
      <w:r>
        <w:t xml:space="preserve">. The RandomForest baseline does not use monotonicity (sklearn does not support it); the comparison is therefore intentionally apples-to-oranges in that respect.</w:t>
      </w:r>
    </w:p>
    <w:bookmarkEnd w:id="22"/>
    <w:bookmarkStart w:id="23" w:name="default-hyperparameters"/>
    <w:p>
      <w:pPr>
        <w:pStyle w:val="Heading3"/>
      </w:pPr>
      <w:r>
        <w:t xml:space="preserve">Default hyperparameters</w:t>
      </w:r>
    </w:p>
    <w:p>
      <w:pPr>
        <w:pStyle w:val="SourceCode"/>
      </w:pPr>
      <w:r>
        <w:rPr>
          <w:rStyle w:val="NormalTok"/>
        </w:rPr>
        <w:t xml:space="preserve">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subsample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colsample_bytree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reg_lambda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tree_method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"hist"</w:t>
      </w:r>
    </w:p>
    <w:p>
      <w:pPr>
        <w:pStyle w:val="FirstParagraph"/>
      </w:pPr>
      <w:r>
        <w:t xml:space="preserve">A formal Optuna search is deferred to</w:t>
      </w:r>
      <w:r>
        <w:t xml:space="preserve"> </w:t>
      </w:r>
      <w:r>
        <w:rPr>
          <w:rStyle w:val="VerbatimChar"/>
        </w:rPr>
        <w:t xml:space="preserve">scripts/optuna_search.py</w:t>
      </w:r>
      <w:r>
        <w:t xml:space="preserve"> </w:t>
      </w:r>
      <w:r>
        <w:t xml:space="preserve">(Phase-3 polish) and will be locked at OSF posting time.</w:t>
      </w:r>
    </w:p>
    <w:bookmarkEnd w:id="23"/>
    <w:bookmarkStart w:id="24" w:name="conformal-layer"/>
    <w:p>
      <w:pPr>
        <w:pStyle w:val="Heading3"/>
      </w:pPr>
      <w:r>
        <w:t xml:space="preserve">Conformal layer</w:t>
      </w:r>
    </w:p>
    <w:p>
      <w:pPr>
        <w:pStyle w:val="FirstParagraph"/>
      </w:pPr>
      <w:r>
        <w:rPr>
          <w:rStyle w:val="VerbatimChar"/>
        </w:rPr>
        <w:t xml:space="preserve">cgem_ext.surrogate.MondrianSplitConformal(alpha=0.05)</w:t>
      </w:r>
      <w:r>
        <w:t xml:space="preserve"> </w:t>
      </w:r>
      <w:r>
        <w:t xml:space="preserve">stratified by</w:t>
      </w:r>
      <w:r>
        <w:t xml:space="preserve"> </w:t>
      </w:r>
      <w:r>
        <w:rPr>
          <w:rStyle w:val="VerbatimChar"/>
        </w:rPr>
        <w:t xml:space="preserve">maneuver_category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Calibration: per-stratum quantile of</w:t>
      </w:r>
      <w:r>
        <w:t xml:space="preserve"> </w:t>
      </w:r>
      <w:r>
        <w:rPr>
          <w:rStyle w:val="VerbatimChar"/>
        </w:rPr>
        <w:t xml:space="preserve">|y_true − y_pred|</w:t>
      </w:r>
      <w:r>
        <w:t xml:space="preserve"> </w:t>
      </w:r>
      <w:r>
        <w:t xml:space="preserve">on the validation split, with finite-sample correction</w:t>
      </w:r>
      <w:r>
        <w:t xml:space="preserve"> </w:t>
      </w:r>
      <w:r>
        <w:rPr>
          <w:rStyle w:val="VerbatimChar"/>
        </w:rPr>
        <w:t xml:space="preserve">ceil((n+1)(1-α))/n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Inference: each test row’s interval width is the per-stratum quantile (with global-fallback for unseen strata).</w:t>
      </w:r>
    </w:p>
    <w:p>
      <w:pPr>
        <w:numPr>
          <w:ilvl w:val="0"/>
          <w:numId w:val="1002"/>
        </w:numPr>
        <w:pStyle w:val="Compact"/>
      </w:pPr>
      <w:r>
        <w:t xml:space="preserve">Property: empirical coverage tends to (1 − α) within each stratum on exchangeable data.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training-data"/>
    <w:p>
      <w:pPr>
        <w:pStyle w:val="Heading2"/>
      </w:pPr>
      <w:r>
        <w:t xml:space="preserve">Training data</w:t>
      </w:r>
    </w:p>
    <w:p>
      <w:pPr>
        <w:numPr>
          <w:ilvl w:val="0"/>
          <w:numId w:val="1003"/>
        </w:numPr>
        <w:pStyle w:val="Compact"/>
      </w:pPr>
      <w:r>
        <w:t xml:space="preserve">Dataset:</w:t>
      </w:r>
      <w:r>
        <w:t xml:space="preserve"> </w:t>
      </w:r>
      <w:r>
        <w:rPr>
          <w:rStyle w:val="VerbatimChar"/>
        </w:rPr>
        <w:t xml:space="preserve">cgem_synthetic_v1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data/datasets/cgem_synthetic_v1.parquet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Datasheet:</w:t>
      </w:r>
      <w:r>
        <w:t xml:space="preserve"> </w:t>
      </w:r>
      <w:r>
        <w:rPr>
          <w:rStyle w:val="VerbatimChar"/>
        </w:rPr>
        <w:t xml:space="preserve">docs/data/datasheet.md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Train/val/test split: 70/15/15 stratified by</w:t>
      </w:r>
      <w:r>
        <w:t xml:space="preserve"> </w:t>
      </w:r>
      <w:r>
        <w:rPr>
          <w:rStyle w:val="VerbatimChar"/>
        </w:rPr>
        <w:t xml:space="preserve">maneuver_category</w:t>
      </w:r>
      <w:r>
        <w:t xml:space="preserve">, master seed 42 (</w:t>
      </w:r>
      <w:r>
        <w:rPr>
          <w:rStyle w:val="VerbatimChar"/>
        </w:rPr>
        <w:t xml:space="preserve">cgem_ext.data.splits.stratified_split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31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Numbers below are reproduced by</w:t>
      </w:r>
      <w:r>
        <w:t xml:space="preserve"> </w:t>
      </w:r>
      <w:r>
        <w:rPr>
          <w:rStyle w:val="VerbatimChar"/>
        </w:rPr>
        <w:t xml:space="preserve">tests/test_surrogate.py::test_*_surrogate_meets_thresholds</w:t>
      </w:r>
      <w:r>
        <w:t xml:space="preserve"> </w:t>
      </w:r>
      <w:r>
        <w:t xml:space="preserve">against the canonical paper-1 dataset. The full test suite runs in ~100 s on an 8-core CPU.</w:t>
      </w:r>
    </w:p>
    <w:bookmarkStart w:id="27" w:name="X70d8edf10de1e59ff0ef177263b610b1c44ae06"/>
    <w:p>
      <w:pPr>
        <w:pStyle w:val="Heading3"/>
      </w:pPr>
      <w:r>
        <w:t xml:space="preserve">Classifier stage (event detection on censored targets)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AUROC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time_to_greyout_s</w:t>
            </w:r>
            <w:r>
              <w:t xml:space="preserve"> </w:t>
            </w:r>
            <w:r>
              <w:t xml:space="preserve">(event = greyout occurred)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time_to_blackout_s</w:t>
            </w:r>
            <w:r>
              <w:t xml:space="preserve"> </w:t>
            </w:r>
            <w:r>
              <w:t xml:space="preserve">(event = blackout occurred)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time_to_gloc_s</w:t>
            </w:r>
            <w:r>
              <w:t xml:space="preserve"> </w:t>
            </w:r>
            <w:r>
              <w:t xml:space="preserve">(event = G-LOC occurred)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</w:tr>
    </w:tbl>
    <w:p>
      <w:pPr>
        <w:pStyle w:val="BodyText"/>
      </w:pPr>
      <w:r>
        <w:t xml:space="preserve">The classifier is essentially perfect across all three event flags; the synthetic dataset is deterministic so this is unsurprising.</w:t>
      </w:r>
    </w:p>
    <w:bookmarkEnd w:id="27"/>
    <w:bookmarkStart w:id="28" w:name="regressor-stage"/>
    <w:p>
      <w:pPr>
        <w:pStyle w:val="Heading3"/>
      </w:pPr>
      <w:r>
        <w:t xml:space="preserve">Regressor stage</w:t>
      </w:r>
    </w:p>
    <w:p>
      <w:pPr>
        <w:pStyle w:val="FirstParagraph"/>
      </w:pPr>
      <w:r>
        <w:t xml:space="preserve">For censored targets, R² and RMSE are reported on rows where the event actually occurred (event = 1). For continuous targets, on the full test split.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 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baseline 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time_to_greyout_s</w:t>
            </w:r>
            <w:r>
              <w:t xml:space="preserve"> </w:t>
            </w:r>
            <w:r>
              <w:t xml:space="preserve">(event=1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0.519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time_to_blackout_s</w:t>
            </w:r>
            <w:r>
              <w:t xml:space="preserve"> </w:t>
            </w:r>
            <w:r>
              <w:t xml:space="preserve">(event=1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0.458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time_to_gloc_s</w:t>
            </w:r>
            <w:r>
              <w:t xml:space="preserve"> </w:t>
            </w:r>
            <w:r>
              <w:t xml:space="preserve">(event=1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1.142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 mmHg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c_bank_min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0.939</w:t>
            </w:r>
          </w:p>
        </w:tc>
      </w:tr>
    </w:tbl>
    <w:p>
      <w:pPr>
        <w:pStyle w:val="BodyText"/>
      </w:pPr>
      <w:r>
        <w:t xml:space="preserve">The RandomForest baseline R² values for censored targets are</w:t>
      </w:r>
      <w:r>
        <w:t xml:space="preserve"> </w:t>
      </w:r>
      <w:r>
        <w:rPr>
          <w:iCs/>
          <w:i/>
        </w:rPr>
        <w:t xml:space="preserve">negative</w:t>
      </w:r>
      <w:r>
        <w:t xml:space="preserve"> </w:t>
      </w:r>
      <w:r>
        <w:t xml:space="preserve">on the event=1 evaluation slice because the baseline’s expected-time prediction (P(event) × E[time | event]) is heavily damped on these high-event-rate test rows; the RF baseline is comparable to XGB only on continuous targets where this issue does not arise. Paper-1 reports both numbers and the discussion notes this evaluation asymmetry.</w:t>
      </w:r>
    </w:p>
    <w:bookmarkEnd w:id="28"/>
    <w:bookmarkStart w:id="29" w:name="mondrian-conformal-coverage"/>
    <w:p>
      <w:pPr>
        <w:pStyle w:val="Heading3"/>
      </w:pPr>
      <w:r>
        <w:t xml:space="preserve">Mondrian conformal coverage</w:t>
      </w:r>
    </w:p>
    <w:p>
      <w:pPr>
        <w:pStyle w:val="FirstParagraph"/>
      </w:pPr>
      <w:r>
        <w:t xml:space="preserve">Empirical coverage of the 95% Mondrian split-conformal interval on the held-out test split, calibrated on the val split: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±5pp of nominal?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hlap_min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c_bank_min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time_to_greyout_s</w:t>
            </w:r>
            <w:r>
              <w:t xml:space="preserve"> </w:t>
            </w:r>
            <w:r>
              <w:t xml:space="preserve">(event=1 cal+test)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(over-coverage)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time_to_blackout_s</w:t>
            </w:r>
            <w:r>
              <w:t xml:space="preserve"> </w:t>
            </w:r>
            <w:r>
              <w:t xml:space="preserve">(event=1 cal+test)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(over-coverage)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time_to_gloc_s</w:t>
            </w:r>
            <w:r>
              <w:t xml:space="preserve"> </w:t>
            </w:r>
            <w:r>
              <w:t xml:space="preserve">(event=1 cal+test)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(5pp under nominal)</w:t>
            </w:r>
          </w:p>
        </w:tc>
      </w:tr>
    </w:tbl>
    <w:p>
      <w:pPr>
        <w:pStyle w:val="BodyText"/>
      </w:pPr>
      <w:r>
        <w:t xml:space="preserve">Per-stratum coverage tables are reproducible via</w:t>
      </w:r>
      <w:r>
        <w:t xml:space="preserve"> </w:t>
      </w:r>
      <w:r>
        <w:rPr>
          <w:rStyle w:val="VerbatimChar"/>
        </w:rPr>
        <w:t xml:space="preserve">cp.coverage(...)</w:t>
      </w:r>
      <w:r>
        <w:t xml:space="preserve"> </w:t>
      </w:r>
      <w:r>
        <w:t xml:space="preserve">and live in the test outputs; they will be reported as supplementary in paper 1.</w:t>
      </w:r>
    </w:p>
    <w:bookmarkEnd w:id="29"/>
    <w:bookmarkStart w:id="30" w:name="speedup-vs-direct-cgem-subprocess"/>
    <w:p>
      <w:pPr>
        <w:pStyle w:val="Heading3"/>
      </w:pPr>
      <w:r>
        <w:t xml:space="preserve">Speedup vs direct CGEM subprocess</w:t>
      </w:r>
    </w:p>
    <w:p>
      <w:pPr>
        <w:numPr>
          <w:ilvl w:val="0"/>
          <w:numId w:val="1004"/>
        </w:numPr>
        <w:pStyle w:val="Compact"/>
      </w:pPr>
      <w:r>
        <w:t xml:space="preserve">Direct CGEM subprocess: ~9 ms per row on a single core (synthetic dataset generation rate,</w:t>
      </w:r>
      <w:r>
        <w:t xml:space="preserve"> </w:t>
      </w:r>
      <w:r>
        <w:rPr>
          <w:rStyle w:val="VerbatimChar"/>
        </w:rPr>
        <w:t xml:space="preserve">cpu_count - 1</w:t>
      </w:r>
      <w:r>
        <w:t xml:space="preserve"> </w:t>
      </w:r>
      <w:r>
        <w:t xml:space="preserve">workers).</w:t>
      </w:r>
    </w:p>
    <w:p>
      <w:pPr>
        <w:numPr>
          <w:ilvl w:val="0"/>
          <w:numId w:val="1004"/>
        </w:numPr>
        <w:pStyle w:val="Compact"/>
      </w:pPr>
      <w:r>
        <w:t xml:space="preserve">XGBoost surrogate: ~50 µs per row on a single core (point prediction, in-process).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~180× wall-clock speedup</w:t>
      </w:r>
      <w:r>
        <w:t xml:space="preserve"> </w:t>
      </w:r>
      <w:r>
        <w:t xml:space="preserve">for a single-row prediction; orders of magnitude better when amortised across batches (XGBoost vectorises across rows whereas CGEM cannot).</w:t>
      </w:r>
    </w:p>
    <w:p>
      <w:pPr>
        <w:pStyle w:val="FirstParagraph"/>
      </w:pPr>
      <w:r>
        <w:t xml:space="preserve">Real-world impact: a 10⁴-sample Saltelli Sobol study (Phase 4) takes seconds via the surrogate, days via the subprocess.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Synthetic-only validation</w:t>
      </w:r>
      <w:r>
        <w:t xml:space="preserve">. Performance numbers are</w:t>
      </w:r>
      <w:r>
        <w:t xml:space="preserve"> </w:t>
      </w:r>
      <w:r>
        <w:rPr>
          <w:iCs/>
          <w:i/>
        </w:rPr>
        <w:t xml:space="preserve">reproducing CGEM</w:t>
      </w:r>
      <w:r>
        <w:t xml:space="preserve">, not predicting reality. Paper 2 (external re-analysis) will quantify the discrepancy term δ(x) = real − CGEM; paper 3 will validate against own-centrifuge subjects.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Two-stage censored handling masks per-row uncertainty</w:t>
      </w:r>
      <w:r>
        <w:t xml:space="preserve">.</w:t>
      </w:r>
      <w:r>
        <w:t xml:space="preserve"> </w:t>
      </w:r>
      <w:r>
        <w:rPr>
          <w:rStyle w:val="VerbatimChar"/>
        </w:rPr>
        <w:t xml:space="preserve">predict_expected_time = P(event) × E[time | event]</w:t>
      </w:r>
      <w:r>
        <w:t xml:space="preserve"> </w:t>
      </w:r>
      <w:r>
        <w:t xml:space="preserve">collapses two distributions into one scalar; the model card recommends downstream consumers display the classifier probability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conditional time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conformal interval, rather than a single</w:t>
      </w:r>
      <w:r>
        <w:t xml:space="preserve"> </w:t>
      </w:r>
      <w:r>
        <w:t xml:space="preserve">“</w:t>
      </w:r>
      <w:r>
        <w:t xml:space="preserve">predicted time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time_to_gloc_s</w:t>
      </w:r>
      <w:r>
        <w:rPr>
          <w:bCs/>
          <w:b/>
        </w:rPr>
        <w:t xml:space="preserve"> </w:t>
      </w:r>
      <w:r>
        <w:rPr>
          <w:bCs/>
          <w:b/>
        </w:rPr>
        <w:t xml:space="preserve">regressor is the weakest</w:t>
      </w:r>
      <w:r>
        <w:t xml:space="preserve"> </w:t>
      </w:r>
      <w:r>
        <w:t xml:space="preserve">(R² = 0.82, RMSE = 1.14 s). Errors of ±1 s on a G-LOC time prediction can be operationally significant.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Conformal under-coverage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time_to_gloc_s</w:t>
      </w:r>
      <w:r>
        <w:t xml:space="preserve"> </w:t>
      </w:r>
      <w:r>
        <w:t xml:space="preserve">(0.86 vs nominal 0.95). The interval is too narrow for the long tail of the conditional time distribution; future work: heteroscedastic conformal (Romano et al. 2019) instead of Mondrian.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Monotonicity priors are local</w:t>
      </w:r>
      <w:r>
        <w:t xml:space="preserve">. XGBoost enforces monotonicity for individual feature changes, holding others fixed. Real interaction effects (e.g. dehydration shifts the AGSM monotone direction) are not encoded.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Six FAA pilot presets only</w:t>
      </w:r>
      <w:r>
        <w:t xml:space="preserve">. The surrogate generalises to the custom-arm</w:t>
      </w:r>
      <w:r>
        <w:t xml:space="preserve"> </w:t>
      </w:r>
      <w:r>
        <w:rPr>
          <w:rStyle w:val="VerbatimChar"/>
        </w:rPr>
        <w:t xml:space="preserve">g_tolerance_multiplier ∈ {0.85, 1.00, 1.15}</w:t>
      </w:r>
      <w:r>
        <w:t xml:space="preserve"> </w:t>
      </w:r>
      <w:r>
        <w:t xml:space="preserve">but extrapolates poorly outside that range. The OOD detector flags such inputs.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Fixed feature space</w:t>
      </w:r>
      <w:r>
        <w:t xml:space="preserve">. Adding HRV inputs from paper 3 will require a new model version with its own card.</w:t>
      </w:r>
    </w:p>
    <w:p>
      <w:r>
        <w:pict>
          <v:rect style="width:0;height:1.5pt" o:hralign="center" o:hrstd="t" o:hr="t"/>
        </w:pict>
      </w:r>
    </w:p>
    <w:bookmarkEnd w:id="32"/>
    <w:bookmarkStart w:id="33" w:name="ethical-considerations"/>
    <w:p>
      <w:pPr>
        <w:pStyle w:val="Heading2"/>
      </w:pPr>
      <w:r>
        <w:t xml:space="preserve">Ethical considerations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Aeromedical decision support, not clearance</w:t>
      </w:r>
      <w:r>
        <w:t xml:space="preserve">. The surrogate is a research instrument; using it to make pilot fly/no-fly decisions requires paper-3-grade validation and regulatory review.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Bias in the pilot population</w:t>
      </w:r>
      <w:r>
        <w:t xml:space="preserve">. Six FAA presets cover most fighter-pilot phenotypes but under-represent female pilots, high-G-tolerant trained operators, and pilots with anthropometric extremes. The OOD detector is the primary mitigation; its model card discusses the same limitation.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Synthetic-data communication</w:t>
      </w:r>
      <w:r>
        <w:t xml:space="preserve">. When the surrogate is deployed (FastAPI, frontend), the response carries a</w:t>
      </w:r>
      <w:r>
        <w:t xml:space="preserve"> </w:t>
      </w:r>
      <w:r>
        <w:rPr>
          <w:rStyle w:val="VerbatimChar"/>
        </w:rPr>
        <w:t xml:space="preserve">source: "surrogate"</w:t>
      </w:r>
      <w:r>
        <w:t xml:space="preserve"> </w:t>
      </w:r>
      <w:r>
        <w:t xml:space="preserve">field; users must be aware they are seeing a fast emulator, not direct CGEM. The</w:t>
      </w:r>
      <w:r>
        <w:t xml:space="preserve"> </w:t>
      </w:r>
      <w:r>
        <w:rPr>
          <w:rStyle w:val="VerbatimChar"/>
        </w:rPr>
        <w:t xml:space="preserve">/run-cgem</w:t>
      </w:r>
      <w:r>
        <w:t xml:space="preserve"> </w:t>
      </w:r>
      <w:r>
        <w:t xml:space="preserve">endpoint exists for the cases where this matters.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Reproducibility commitment</w:t>
      </w:r>
      <w:r>
        <w:t xml:space="preserve">. Every prediction can be back-checked against</w:t>
      </w:r>
      <w:r>
        <w:t xml:space="preserve"> </w:t>
      </w:r>
      <w:r>
        <w:rPr>
          <w:rStyle w:val="VerbatimChar"/>
        </w:rPr>
        <w:t xml:space="preserve">/run-cgem</w:t>
      </w:r>
      <w:r>
        <w:t xml:space="preserve"> </w:t>
      </w:r>
      <w:r>
        <w:t xml:space="preserve">(the same compiled binary used during dataset generation, hash recorded in the dataset’s sidecar metadata). Discrepancies above the conformal interval indicate either a surrogate failure or an OOD input, both of which are auditable.</w:t>
      </w:r>
    </w:p>
    <w:p>
      <w:r>
        <w:pict>
          <v:rect style="width:0;height:1.5pt" o:hralign="center" o:hrstd="t" o:hr="t"/>
        </w:pict>
      </w:r>
    </w:p>
    <w:bookmarkEnd w:id="33"/>
    <w:bookmarkStart w:id="34" w:name="how-to-reproduce"/>
    <w:p>
      <w:pPr>
        <w:pStyle w:val="Heading2"/>
      </w:pPr>
      <w:r>
        <w:t xml:space="preserve">How to reproduce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cgem_ext.data.splits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stratified_split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cgem_ext.surrogate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MondrianSplitConformal, XGBSurrogate, TwoStageXGBSurrogate,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</w:t>
      </w:r>
      <w:r>
        <w:rPr>
          <w:rStyle w:val="StringTok"/>
        </w:rPr>
        <w:t xml:space="preserve">"data/datasets/cgem_synthetic_v1.parquet"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stratified_split(df,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train_df, val_df, 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CommentTok"/>
        </w:rPr>
        <w:t xml:space="preserve"># Continuous target</w:t>
      </w:r>
      <w:r>
        <w:br/>
      </w:r>
      <w:r>
        <w:rPr>
          <w:rStyle w:val="NormalTok"/>
        </w:rPr>
        <w:t xml:space="preserve">xgb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XGBSurrogate(</w:t>
      </w:r>
      <w:r>
        <w:rPr>
          <w:rStyle w:val="StringTok"/>
        </w:rPr>
        <w:t xml:space="preserve">"hlap_min"</w:t>
      </w:r>
      <w:r>
        <w:rPr>
          <w:rStyle w:val="NormalTok"/>
        </w:rPr>
        <w:t xml:space="preserve">).fit(train_df)</w:t>
      </w:r>
      <w:r>
        <w:br/>
      </w:r>
      <w:r>
        <w:rPr>
          <w:rStyle w:val="NormalTok"/>
        </w:rPr>
        <w:t xml:space="preserve">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MondrianSplitConformal(alpha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).fit(</w:t>
      </w:r>
      <w:r>
        <w:br/>
      </w:r>
      <w:r>
        <w:rPr>
          <w:rStyle w:val="NormalTok"/>
        </w:rPr>
        <w:t xml:space="preserve">    cal_predictions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xgb.predict(val_df),</w:t>
      </w:r>
      <w:r>
        <w:br/>
      </w:r>
      <w:r>
        <w:rPr>
          <w:rStyle w:val="NormalTok"/>
        </w:rPr>
        <w:t xml:space="preserve">    cal_targets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val_df[</w:t>
      </w:r>
      <w:r>
        <w:rPr>
          <w:rStyle w:val="StringTok"/>
        </w:rPr>
        <w:t xml:space="preserve">"hlap_min"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cal_strata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val_df[</w:t>
      </w:r>
      <w:r>
        <w:rPr>
          <w:rStyle w:val="StringTok"/>
        </w:rPr>
        <w:t xml:space="preserve">"maneuver_category"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"Coverage:"</w:t>
      </w:r>
      <w:r>
        <w:rPr>
          <w:rStyle w:val="NormalTok"/>
        </w:rPr>
        <w:t xml:space="preserve">, cp.coverage(</w:t>
      </w:r>
      <w:r>
        <w:br/>
      </w:r>
      <w:r>
        <w:rPr>
          <w:rStyle w:val="NormalTok"/>
        </w:rPr>
        <w:t xml:space="preserve">    test_predictions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xgb.predict(test_df),</w:t>
      </w:r>
      <w:r>
        <w:br/>
      </w:r>
      <w:r>
        <w:rPr>
          <w:rStyle w:val="NormalTok"/>
        </w:rPr>
        <w:t xml:space="preserve">    test_targets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test_df[</w:t>
      </w:r>
      <w:r>
        <w:rPr>
          <w:rStyle w:val="StringTok"/>
        </w:rPr>
        <w:t xml:space="preserve">"hlap_min"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test_strata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test_df[</w:t>
      </w:r>
      <w:r>
        <w:rPr>
          <w:rStyle w:val="StringTok"/>
        </w:rPr>
        <w:t xml:space="preserve">"maneuver_category"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Censored target — predict expected time + classifier probability</w:t>
      </w:r>
      <w:r>
        <w:br/>
      </w:r>
      <w:r>
        <w:rPr>
          <w:rStyle w:val="NormalTok"/>
        </w:rPr>
        <w:t xml:space="preserve">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TwoStageXGBSurrogate(</w:t>
      </w:r>
      <w:r>
        <w:rPr>
          <w:rStyle w:val="StringTok"/>
        </w:rPr>
        <w:t xml:space="preserve">"time_to_gloc_s"</w:t>
      </w:r>
      <w:r>
        <w:rPr>
          <w:rStyle w:val="NormalTok"/>
        </w:rPr>
        <w:t xml:space="preserve">).fit(train_df)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"AUROC:"</w:t>
      </w:r>
      <w:r>
        <w:rPr>
          <w:rStyle w:val="NormalTok"/>
        </w:rPr>
        <w:t xml:space="preserve">, roc_auc_score(test_df[</w:t>
      </w:r>
      <w:r>
        <w:rPr>
          <w:rStyle w:val="StringTok"/>
        </w:rPr>
        <w:t xml:space="preserve">"event_gloc"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two.predict_event_probability(test_df)))</w:t>
      </w:r>
    </w:p>
    <w:p>
      <w:r>
        <w:pict>
          <v:rect style="width:0;height:1.5pt" o:hralign="center" o:hrstd="t" o:hr="t"/>
        </w:pict>
      </w:r>
    </w:p>
    <w:bookmarkEnd w:id="34"/>
    <w:bookmarkStart w:id="35" w:name="versioning"/>
    <w:p>
      <w:pPr>
        <w:pStyle w:val="Heading2"/>
      </w:pPr>
      <w:r>
        <w:t xml:space="preserve">Versioning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v0.1.0</w:t>
      </w:r>
      <w:r>
        <w:t xml:space="preserve"> </w:t>
      </w:r>
      <w:r>
        <w:t xml:space="preserve">(current): bundled with Phase-3 commit on</w:t>
      </w:r>
      <w:r>
        <w:t xml:space="preserve"> </w:t>
      </w:r>
      <w:r>
        <w:rPr>
          <w:rStyle w:val="VerbatimChar"/>
        </w:rPr>
        <w:t xml:space="preserve">feat/ml-layer-phase-0</w:t>
      </w:r>
      <w:r>
        <w:t xml:space="preserve">. Models trained at use-time from the dataset; no serialised artefacts ship yet. Serialised artefacts (</w:t>
      </w:r>
      <w:r>
        <w:rPr>
          <w:rStyle w:val="VerbatimChar"/>
        </w:rPr>
        <w:t xml:space="preserve">cgem_ext/surrogate/artifacts/v0_1_0/*.json</w:t>
      </w:r>
      <w:r>
        <w:t xml:space="preserve"> </w:t>
      </w:r>
      <w:r>
        <w:t xml:space="preserve">for XGBoost,</w:t>
      </w:r>
      <w:r>
        <w:t xml:space="preserve"> </w:t>
      </w:r>
      <w:r>
        <w:rPr>
          <w:rStyle w:val="VerbatimChar"/>
        </w:rPr>
        <w:t xml:space="preserve">*.joblib</w:t>
      </w:r>
      <w:r>
        <w:t xml:space="preserve"> </w:t>
      </w:r>
      <w:r>
        <w:t xml:space="preserve">for RF) will land alongside paper-1 submission.</w:t>
      </w:r>
    </w:p>
    <w:p>
      <w:pPr>
        <w:numPr>
          <w:ilvl w:val="0"/>
          <w:numId w:val="1007"/>
        </w:numPr>
        <w:pStyle w:val="Compact"/>
      </w:pPr>
      <w:r>
        <w:t xml:space="preserve">Any change to</w:t>
      </w:r>
      <w:r>
        <w:t xml:space="preserve"> </w:t>
      </w:r>
      <w:r>
        <w:rPr>
          <w:rStyle w:val="VerbatimChar"/>
        </w:rPr>
        <w:t xml:space="preserve">cgem_ext.surrogate.features.FEATURE_COLUMNS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cgem_ext.surrogate.targets.TARGETS</w:t>
      </w:r>
      <w:r>
        <w:t xml:space="preserve"> </w:t>
      </w:r>
      <w:r>
        <w:t xml:space="preserve">increments the model version and forces a re-fit.</w:t>
      </w:r>
    </w:p>
    <w:bookmarkEnd w:id="35"/>
    <w:bookmarkEnd w:id="36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20" Target="https://arxiv.org/abs/1810.0367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xiv.org/abs/1810.0367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2026-05-14T08:38:53Z</dcterms:created>
  <dcterms:modified xsi:type="dcterms:W3CDTF">2026-05-14T08:38:53Z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