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tripod-ai-checklist"/>
    <w:p>
      <w:pPr>
        <w:pStyle w:val="Heading1"/>
      </w:pPr>
      <w:r>
        <w:t xml:space="preserve">TRIPOD-AI checklist</w:t>
      </w:r>
    </w:p>
    <w:p>
      <w:pPr>
        <w:pStyle w:val="BlockText"/>
      </w:pPr>
      <w:r>
        <w:rPr>
          <w:bCs/>
          <w:b/>
        </w:rPr>
        <w:t xml:space="preserve">Citation:</w:t>
      </w:r>
      <w:r>
        <w:t xml:space="preserve"> </w:t>
      </w:r>
      <w:r>
        <w:t xml:space="preserve">Collins GS, Moons KGM, Dhiman P,</w:t>
      </w:r>
      <w:r>
        <w:t xml:space="preserve"> </w:t>
      </w:r>
      <w:r>
        <w:rPr>
          <w:iCs/>
          <w:i/>
        </w:rPr>
        <w:t xml:space="preserve">et al.</w:t>
      </w:r>
      <w:r>
        <w:t xml:space="preserve"> </w:t>
      </w:r>
      <w:r>
        <w:t xml:space="preserve">TRIPOD+AI</w:t>
      </w:r>
      <w:r>
        <w:t xml:space="preserve"> </w:t>
      </w:r>
      <w:r>
        <w:t xml:space="preserve">statement: updated guidance for reporting clinical prediction models</w:t>
      </w:r>
      <w:r>
        <w:t xml:space="preserve"> </w:t>
      </w:r>
      <w:r>
        <w:t xml:space="preserve">that use regression or machine learning methods.</w:t>
      </w:r>
      <w:r>
        <w:t xml:space="preserve"> </w:t>
      </w:r>
      <w:r>
        <w:rPr>
          <w:iCs/>
          <w:i/>
        </w:rPr>
        <w:t xml:space="preserve">BMJ</w:t>
      </w:r>
      <w:r>
        <w:t xml:space="preserve"> </w:t>
      </w:r>
      <w:r>
        <w:t xml:space="preserve">2024;385:e078378.</w:t>
      </w:r>
      <w:r>
        <w:t xml:space="preserve"> </w:t>
      </w:r>
      <w:r>
        <w:t xml:space="preserve">doi:10.1136/bmj-2023-078378.</w:t>
      </w:r>
    </w:p>
    <w:p>
      <w:pPr>
        <w:pStyle w:val="BlockText"/>
      </w:pPr>
      <w:r>
        <w:t xml:space="preserve">The checklist is supplementary to the AMHP submission. Each item</w:t>
      </w:r>
      <w:r>
        <w:t xml:space="preserve"> </w:t>
      </w:r>
      <w:r>
        <w:t xml:space="preserve">below maps to a manuscript section / page / line range and a brief</w:t>
      </w:r>
      <w:r>
        <w:t xml:space="preserve"> </w:t>
      </w:r>
      <w:r>
        <w:t xml:space="preserve">note. Where TRIPOD-AI uses sub-items, the reporting location is</w:t>
      </w:r>
      <w:r>
        <w:t xml:space="preserve"> </w:t>
      </w:r>
      <w:r>
        <w:t xml:space="preserve">repeated for each sub-item that applies.</w:t>
      </w:r>
    </w:p>
    <w:p>
      <w:pPr>
        <w:pStyle w:val="BlockText"/>
      </w:pPr>
      <w:r>
        <w:t xml:space="preserve">Manuscript file:</w:t>
      </w:r>
      <w:r>
        <w:t xml:space="preserve"> </w:t>
      </w:r>
      <w:r>
        <w:rPr>
          <w:rStyle w:val="VerbatimChar"/>
        </w:rPr>
        <w:t xml:space="preserve">docs/publication/manuscript.md</w:t>
      </w:r>
      <w:r>
        <w:t xml:space="preserve"> </w:t>
      </w:r>
      <w:r>
        <w:t xml:space="preserve">(this PDF is</w:t>
      </w:r>
      <w:r>
        <w:t xml:space="preserve"> </w:t>
      </w:r>
      <w:r>
        <w:t xml:space="preserve">rendered from that source).</w:t>
      </w:r>
    </w:p>
    <w:bookmarkStart w:id="20" w:name="title-and-abstract"/>
    <w:p>
      <w:pPr>
        <w:pStyle w:val="Heading2"/>
      </w:pPr>
      <w:r>
        <w:t xml:space="preserve">Title and abstract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Reported 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Title — identifies the study as developing/validating an ML prediction 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Manuscript 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Conformal ML emulation and OOD detection for the FAA CGEM G-LOC model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Abstract — structured (background, methods, results, conclusions)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§Abstract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Unstructured per AMHP §3 (250 words) — content covers all four elements</w:t>
            </w:r>
          </w:p>
        </w:tc>
      </w:tr>
    </w:tbl>
    <w:bookmarkEnd w:id="20"/>
    <w:bookmarkStart w:id="21" w:name="introduction"/>
    <w:p>
      <w:pPr>
        <w:pStyle w:val="Heading2"/>
      </w:pPr>
      <w:r>
        <w:t xml:space="preserve">Introduction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Reported 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Explain the medical context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§1 ¶1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G-LOC risk in fighter / aerobatic / high-performance flight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Explain the rationale for developing the 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§1 ¶2–4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Three CGEM gaps motivate the additive ML extension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Specify objectives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§1 ¶4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Emulate CGEM 180× faster + calibrated intervals + OOD detection + sensitivity</w:t>
            </w:r>
            <w:r>
              <w:t xml:space="preserve">”</w:t>
            </w:r>
          </w:p>
        </w:tc>
      </w:tr>
    </w:tbl>
    <w:bookmarkEnd w:id="21"/>
    <w:bookmarkStart w:id="22" w:name="methods"/>
    <w:p>
      <w:pPr>
        <w:pStyle w:val="Heading2"/>
      </w:pPr>
      <w:r>
        <w:t xml:space="preserve">Methods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Reported 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 of data — describe key elements of study setting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§2.2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Synthetic CGEM dataset; cross-product input grid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 of data — eligibility criteria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§2.2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72 registered maneuvers × 45 pilot configurations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 of data — relevant dates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§2.2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Dataset generated 2026-04, master seed 42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Outcome — definition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§2.4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Five targets: time_to_greyout/blackout/gloc_s, hlap_min, c_bank_min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Outcome — methods of measurement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§2.4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CGEM Fortran integration; right-censored event times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Predictors — definition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§2.4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17-d feature space (9 numeric + 7 one-hot WHO + 1 ordinal cm)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Predictors — methods of measurement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§2.4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Encoded from PilotConfig + maneuver descriptors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Sample 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§2.2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3,240 rows; n=2,267 train / 486 val / 487 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Missing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§2.2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Right-censored event times handled via two-stage classifier-then-regressor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 development — model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§2.4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XGBoost (per-target); RF baseline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 development — algorithm parameters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§2.4 ¶2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n_est=400, max_depth=6, eta=0.05, monotonicity constraints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 development — feature engineering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§2.4 /</w:t>
            </w:r>
            <w:r>
              <w:t xml:space="preserve"> </w:t>
            </w:r>
            <w:r>
              <w:rPr>
                <w:rStyle w:val="VerbatimChar"/>
              </w:rPr>
              <w:t xml:space="preserve">cgem_ext.ood.features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17-d feature space; ordinal encoding for cm; one-hot for WHO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 performance — calibration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§2.4 ¶4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Mondrian split-conformal + ECE on classifier stages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 evaluation — held-out 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§2.3, §3.2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70/15/15 stratified; LOGO for OOD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 groups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a clinical risk-group study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Hyperparameter tuning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§2.4 ¶3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Defaults; formal Optuna search deferred to OSF-pre-registered Phase-3 polish</w:t>
            </w:r>
          </w:p>
        </w:tc>
      </w:tr>
    </w:tbl>
    <w:bookmarkEnd w:id="22"/>
    <w:bookmarkStart w:id="23" w:name="results"/>
    <w:p>
      <w:pPr>
        <w:pStyle w:val="Heading2"/>
      </w:pPr>
      <w:r>
        <w:t xml:space="preserve">Results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Reported 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Participants — flow diagram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§3.1, Figure 6 (architecture)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Dataset composition by category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 development — characteristics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§3.2, Table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Per-target R², RMSE, RF baseline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 performance — discrimination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§3.2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Classifier AUROC ≥ 0.996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 performance — calibration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§3.3, Table 2; §3.4, Table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Conformal coverage; ECE per target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Subgroup analysis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§3.3, Table 2 (per-stratum)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By maneuver category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OOD performance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§3.5, Table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Mahalanobis vs IsolationForest LOGO AUROC</w:t>
            </w:r>
          </w:p>
        </w:tc>
      </w:tr>
    </w:tbl>
    <w:bookmarkEnd w:id="23"/>
    <w:bookmarkStart w:id="24" w:name="discussion"/>
    <w:p>
      <w:pPr>
        <w:pStyle w:val="Heading2"/>
      </w:pPr>
      <w:r>
        <w:t xml:space="preserve">Discussion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Reported 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Interpretation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§4.1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Three principal findings + caveats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Limitations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§4.4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Synthetic-only validation; dataset coverage; six FAA presets; weak time-to-G-LOC; conservative OOD threshold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Implications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§4.2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Parametric planning; real-time advisory; personalized risk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Future research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§4.6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Papers 2 &amp; 3; heteroscedastic conformal; Bayesian per-pilot calibration</w:t>
            </w:r>
          </w:p>
        </w:tc>
      </w:tr>
    </w:tbl>
    <w:bookmarkEnd w:id="24"/>
    <w:bookmarkStart w:id="25" w:name="other-information"/>
    <w:p>
      <w:pPr>
        <w:pStyle w:val="Heading2"/>
      </w:pPr>
      <w:r>
        <w:t xml:space="preserve">Other information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Reported 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Pre-registration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§2.7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OSF pre-registration before any test-set evaluation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 availability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§4.5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strikerdlm/CAMI-Gz-Effects-Model-CGEM-</w:t>
            </w:r>
            <w:r>
              <w:t xml:space="preserve"> </w:t>
            </w:r>
            <w:r>
              <w:t xml:space="preserve">(MIT, GitHub)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availability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§4.5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cgem_synthetic_v1.parquet</w:t>
            </w:r>
            <w:r>
              <w:t xml:space="preserve"> </w:t>
            </w:r>
            <w:r>
              <w:t xml:space="preserve">+ sidecar; Zenodo DOI at submission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Reporting standard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This 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TRIPOD-AI; supplementary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Title 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 (self-funded)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Conflicts of interest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Title 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Acknowledgments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Title 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FAA CAMI for CGEM source/binaries; AI tool disclosure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Start w:id="26" w:name="mapping-to-amhp-specific-concerns"/>
    <w:p>
      <w:pPr>
        <w:pStyle w:val="Heading2"/>
      </w:pPr>
      <w:r>
        <w:t xml:space="preserve">Mapping to AMHP-specific concerns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Clinical decision-making boundary.</w:t>
      </w:r>
      <w:r>
        <w:t xml:space="preserve"> </w:t>
      </w:r>
      <w:r>
        <w:t xml:space="preserve">The TRIPOD-AI framework is</w:t>
      </w:r>
      <w:r>
        <w:t xml:space="preserve"> </w:t>
      </w:r>
      <w:r>
        <w:t xml:space="preserve">designed for clinical prediction models. This work is explicitly</w:t>
      </w:r>
      <w:r>
        <w:t xml:space="preserve"> </w:t>
      </w:r>
      <w:r>
        <w:rPr>
          <w:iCs/>
          <w:i/>
        </w:rPr>
        <w:t xml:space="preserve">not</w:t>
      </w:r>
      <w:r>
        <w:t xml:space="preserve"> </w:t>
      </w:r>
      <w:r>
        <w:t xml:space="preserve">a centrifuge-validated clinical model — see the manuscript</w:t>
      </w:r>
      <w:r>
        <w:t xml:space="preserve"> </w:t>
      </w:r>
      <w:r>
        <w:t xml:space="preserve">Limitations (§4.4) and the OOD/emulator model cards</w:t>
      </w:r>
      <w:r>
        <w:t xml:space="preserve"> </w:t>
      </w:r>
      <w:r>
        <w:t xml:space="preserve">(</w:t>
      </w:r>
      <w:r>
        <w:rPr>
          <w:rStyle w:val="VerbatimChar"/>
        </w:rPr>
        <w:t xml:space="preserve">docs/models/</w:t>
      </w:r>
      <w:r>
        <w:t xml:space="preserve">). The framework is presented as a methodological</w:t>
      </w:r>
      <w:r>
        <w:t xml:space="preserve"> </w:t>
      </w:r>
      <w:r>
        <w:t xml:space="preserve">contribution; clinical use is gated on Paper 3 (own-centrifuge</w:t>
      </w:r>
      <w:r>
        <w:t xml:space="preserve"> </w:t>
      </w:r>
      <w:r>
        <w:t xml:space="preserve">validation against subjects).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Generative AI disclosure.</w:t>
      </w:r>
      <w:r>
        <w:t xml:space="preserve"> </w:t>
      </w:r>
      <w:r>
        <w:t xml:space="preserve">Per AMHP §5 and TRIPOD-AI §10b, AI use</w:t>
      </w:r>
      <w:r>
        <w:t xml:space="preserve"> </w:t>
      </w:r>
      <w:r>
        <w:t xml:space="preserve">is disclosed in the cover letter, in the manuscript Methods (§2.8),</w:t>
      </w:r>
      <w:r>
        <w:t xml:space="preserve"> </w:t>
      </w:r>
      <w:r>
        <w:t xml:space="preserve">and on the Title Page acknowledgments.</w:t>
      </w:r>
    </w:p>
    <w:bookmarkEnd w:id="26"/>
    <w:bookmarkEnd w:id="27"/>
    <w:sectPr w:rsidR="00FC693F" w:rsidRPr="0006063C" w:rsidSect="00034616">
      <w:headerReference r:id="rId9" w:type="default"/>
      <w:pgSz w:h="16838" w:w="11906"/>
      <w:pgMar w:bottom="1440" w:footer="720" w:gutter="0" w:header="720" w:left="1440" w:right="1440" w:top="1440"/>
      <w:cols w:space="720"/>
      <w:docGrid w:linePitch="360"/>
      <w:lnNumType w:countBy="1" w:distance="720" w:restart="newPage" w:start="1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imes New Roman" w:hAnsi="Times New Roman"/>
        <w:sz w:val="24"/>
      </w:rPr>
      <w:fldChar w:fldCharType="begin"/>
      <w:instrText>PAGE</w:instrText>
      <w:fldChar w:fldCharType="end"/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val="bestFit"/>
  <w:proofState w:grammar="clean" w:spelling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ja-JP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0" w:before="0" w:line="480" w:lineRule="auto"/>
      <w:jc w:val="left"/>
    </w:pPr>
    <w:rPr>
      <w:rFonts w:ascii="Times New Roman" w:cs="Times New Roman" w:eastAsia="Times New Roman" w:hAnsi="Times New Roman"/>
      <w:b w:val="0"/>
      <w:color w:val="000000"/>
      <w:sz w:val="24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20" w:before="240" w:line="480" w:lineRule="auto"/>
      <w:jc w:val="left"/>
      <w:outlineLvl w:val="0"/>
    </w:pPr>
    <w:rPr>
      <w:rFonts w:ascii="Times New Roman" w:asciiTheme="majorHAnsi" w:cs="Times New Roman" w:cstheme="majorBidi" w:eastAsia="Times New Roman" w:eastAsiaTheme="majorEastAsia" w:hAnsi="Times New Roman" w:hAnsiTheme="majorHAnsi"/>
      <w:b/>
      <w:bCs/>
      <w:color w:val="000000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240" w:line="480" w:lineRule="auto"/>
      <w:jc w:val="left"/>
      <w:outlineLvl w:val="1"/>
    </w:pPr>
    <w:rPr>
      <w:rFonts w:ascii="Times New Roman" w:asciiTheme="majorHAnsi" w:cs="Times New Roman" w:cstheme="majorBidi" w:eastAsia="Times New Roman" w:eastAsiaTheme="majorEastAsia" w:hAnsi="Times New Roman" w:hAnsiTheme="majorHAnsi"/>
      <w:b/>
      <w:bCs/>
      <w:color w:val="000000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20" w:before="240" w:line="480" w:lineRule="auto"/>
      <w:jc w:val="left"/>
      <w:outlineLvl w:val="2"/>
    </w:pPr>
    <w:rPr>
      <w:rFonts w:ascii="Times New Roman" w:asciiTheme="majorHAnsi" w:cs="Times New Roman" w:cstheme="majorBidi" w:eastAsia="Times New Roman" w:eastAsiaTheme="majorEastAsia" w:hAnsi="Times New Roman" w:hAnsiTheme="majorHAnsi"/>
      <w:b/>
      <w:bCs/>
      <w:color w:val="000000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0" w:before="0" w:line="480" w:lineRule="auto"/>
      <w:jc w:val="left"/>
    </w:pPr>
    <w:rPr>
      <w:rFonts w:ascii="Times New Roman" w:cs="Times New Roman" w:eastAsia="Times New Roman" w:hAnsi="Times New Roman"/>
      <w:b w:val="0"/>
      <w:color w:val="000000"/>
      <w:sz w:val="24"/>
    </w:r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0" w:before="0" w:line="480" w:lineRule="auto"/>
      <w:jc w:val="left"/>
    </w:pPr>
    <w:rPr>
      <w:rFonts w:ascii="Times New Roman" w:cs="Times New Roman" w:eastAsia="Times New Roman" w:hAnsi="Times New Roman"/>
      <w:b w:val="0"/>
      <w:color w:val="000000"/>
      <w:sz w:val="24"/>
    </w:r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0" w:before="0" w:line="480" w:lineRule="auto"/>
      <w:jc w:val="left"/>
    </w:pPr>
    <w:rPr>
      <w:rFonts w:ascii="Times New Roman" w:cs="Times New Roman" w:eastAsia="Times New Roman" w:hAnsi="Times New Roman"/>
      <w:b w:val="0"/>
      <w:color w:val="000000"/>
      <w:sz w:val="24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after="120" w:before="120" w:line="240" w:lineRule="auto"/>
    </w:pPr>
    <w:rPr>
      <w:rFonts w:ascii="Times New Roman" w:cs="Times New Roman" w:eastAsia="Times New Roman" w:hAnsi="Times New Roman"/>
      <w:b w:val="0"/>
      <w:bCs/>
      <w:color w:val="000000"/>
      <w:sz w:val="22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rPr>
      <w:rFonts w:ascii="Times New Roman" w:hAnsi="Times New Roman"/>
      <w:sz w:val="22"/>
    </w:r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2026-05-14T08:38:52Z</dcterms:created>
  <dcterms:modified xsi:type="dcterms:W3CDTF">2026-05-14T08:38:52Z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