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240" w:after="120"/>
      </w:pPr>
      <w:r>
        <w:rPr>
          <w:rFonts w:ascii="Times New Roman" w:hAnsi="Times New Roman" w:cs="Times New Roman" w:eastAsia="Times New Roman"/>
          <w:b/>
          <w:i w:val="0"/>
          <w:sz w:val="28"/>
        </w:rPr>
        <w:t>Supplementary Table S2</w:t>
      </w:r>
    </w:p>
    <w:p>
      <w:pPr>
        <w:spacing w:line="480" w:lineRule="auto" w:before="120" w:after="120"/>
      </w:pPr>
      <w:r>
        <w:rPr>
          <w:rFonts w:ascii="Times New Roman" w:hAnsi="Times New Roman" w:cs="Times New Roman" w:eastAsia="Times New Roman"/>
          <w:b/>
          <w:i w:val="0"/>
          <w:sz w:val="22"/>
        </w:rPr>
        <w:t>Table S2.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Per-target, per-stratum empirical conformal coverage on the held-out test split (nominal = 0.95, α = 0.05). For each (target, stratum) cell the table reports the empirical coverage rate (point), the Clopper–Pearson exact 95 % binomial CI (CP), the 95 % paired-bootstrap percentile CI on the coverage rate (1000 resamples), and the per-stratum sample size n. The CQR row at the bottom is the heteroscedastic Conformalized Quantile Regression layer that supersedes the homoscedastic Mondrian baseline on `time_to_gloc_s` under OSF amendment 2026-05-06 hypothesis H5. Per-stratum bootstrap CIs for the CQR row are not computed here because the upstream CQR artifact only commits the per-stratum point rates; the overall CQR coverage carries the Clopper–Pearson CI on n = 36 quoted in §3.3.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Target / stage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Stratum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n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k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Coverage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CP 95 % CI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Bootstrap 95 % CI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time_to_greyout_s (classifier)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Overall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487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471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0.967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[0.947, 0.981]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[0.951, 0.982]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championship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236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231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0.979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[0.951, 0.993]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[0.958, 0.996]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conceptual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21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21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1.000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[0.839, 1.000]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[1.000, 1.000]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extreme post stall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81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76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0.938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[0.862, 0.980]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[0.877, 0.988]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military acm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149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143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0.960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[0.914, 0.985]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[0.926, 0.987]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time_to_greyout_s (regressor, Mondrian)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Overall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84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84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1.000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[0.957, 1.000]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[1.000, 1.000]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championship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1.000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[0.478, 1.000]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[1.000, 1.000]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conceptual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extreme post stall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1.000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[0.590, 1.000]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[1.000, 1.000]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military acm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72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72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1.000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[0.950, 1.000]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[1.000, 1.000]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time_to_blackout_s (classifier)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Overall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487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464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0.953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[0.930, 0.970]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[0.934, 0.971]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championship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236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227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0.962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[0.929, 0.982]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[0.932, 0.983]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conceptual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21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21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1.000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[0.839, 1.000]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[1.000, 1.000]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extreme post stall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81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73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0.901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[0.815, 0.956]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[0.840, 0.963]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military acm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149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143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0.960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[0.914, 0.985]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[0.926, 0.987]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time_to_blackout_s (regressor, Mondrian)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Overall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58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58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1.000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[0.938, 1.000]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[1.000, 1.000]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championship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1.000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[0.025, 1.000]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[1.000, 1.000]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conceptual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extreme post stall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military acm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57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57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1.000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[0.937, 1.000]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[1.000, 1.000]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time_to_gloc_s (classifier)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Overall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487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458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0.940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[0.916, 0.960]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[0.918, 0.961]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championship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236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226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0.958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[0.923, 0.979]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[0.932, 0.983]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conceptual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21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21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1.000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[0.839, 1.000]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[1.000, 1.000]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extreme post stall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81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74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0.914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[0.830, 0.965]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[0.852, 0.975]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military acm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149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137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0.919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[0.864, 0.958]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[0.872, 0.960]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time_to_gloc_s (regressor, Mondrian)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Overall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36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31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0.861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[0.705, 0.953]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[0.749, 0.972]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championship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1.000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[0.025, 1.000]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[1.000, 1.000]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conceptual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extreme post stall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military acm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35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0.857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[0.697, 0.952]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[0.714, 0.971]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hlap_min (Mondrian)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Overall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487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452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0.928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[0.901, 0.949]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[0.903, 0.951]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championship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236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219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0.928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[0.887, 0.957]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[0.894, 0.962]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conceptual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21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0.714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[0.478, 0.887]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[0.524, 0.905]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extreme post stall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81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77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0.951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[0.878, 0.986]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[0.901, 0.988]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military acm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149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141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0.946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[0.897, 0.977]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[0.913, 0.980]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c_bank_min (Mondrian)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Overall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487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462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0.949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[0.925, 0.967]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[0.926, 0.969]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championship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236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228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0.966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[0.934, 0.985]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[0.941, 0.987]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conceptual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21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0.952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[0.762, 0.999]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[0.857, 1.000]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extreme post stall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81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74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0.914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[0.830, 0.965]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[0.852, 0.963]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military acm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149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140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0.940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[0.888, 0.972]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[0.899, 0.973]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time_to_gloc_s (regressor, CQR — primary, OSF-amended H5)</w:t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Overall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36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35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0.972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[0.855, 0.999]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championship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1.000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[0.025, 1.000]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conceptual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extreme post stall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8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military acm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35</w:t>
            </w:r>
          </w:p>
        </w:tc>
        <w:tc>
          <w:tcPr>
            <w:tcW w:type="dxa" w:w="56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34</w:t>
            </w:r>
          </w:p>
        </w:tc>
        <w:tc>
          <w:tcPr>
            <w:tcW w:type="dxa" w:w="102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0.971</w:t>
            </w:r>
          </w:p>
        </w:tc>
        <w:tc>
          <w:tcPr>
            <w:tcW w:type="dxa" w:w="147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[0.847, 0.999]</w:t>
            </w:r>
          </w:p>
        </w:tc>
        <w:tc>
          <w:tcPr>
            <w:tcW w:type="dxa" w:w="158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</w:tr>
    </w:tbl>
    <w:p>
      <w:pPr>
        <w:spacing w:line="480" w:lineRule="auto" w:before="60" w:after="60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Footnote — n is the per-stratum test sample size after stratified split (seed 42); k is the count of in-interval rows. Strata with n = 0 (e.g., conceptual and extreme_post_stall for `time_to_gloc_s` regressor — no event-positive rows in those strata of the OSF test slice) are reported as 0/0 with NaN coverage; this is a function of the dataset structure, not of the conformal layer. Strata with n &lt; 20 carry binomial CIs wider than ±10 pp and are not reliable for a per-stratum claim; the operationally meaningful stratum that drives `time_to_gloc_s` overall coverage is military_acm (n = 35). For the CQR row, per-stratum n values are reproduced from the committed artifact `data/results/cqr/cqr_vs_mondrian_time_to_gloc.json`; per-stratum bootstrap CIs are not available because that artifact commits only the per-stratum point rates. Source code: `scripts/build_supplementary_tables.py`. Calibrator: `cgem_ext.surrogate.conformal.MondrianSplitConformal` (homoscedastic) and `cgem_ext.surrogate.cqr.TwoStageXGBQuantileSurrogate` (heteroscedastic CQR).</w:t>
      </w:r>
    </w:p>
    <w:sectPr w:rsidR="00FC693F" w:rsidRPr="0006063C" w:rsidSect="00034616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  <w:lnNumType w:countBy="1" w:restart="continuous" w:start="1" w:distan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