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suggested-reviewers-ijnmbe-submission"/>
    <w:p>
      <w:pPr>
        <w:pStyle w:val="Heading1"/>
      </w:pPr>
      <w:r>
        <w:t xml:space="preserve">Suggested reviewers — IJNMBE submission</w:t>
      </w:r>
    </w:p>
    <w:p>
      <w:pPr>
        <w:pStyle w:val="BlockText"/>
      </w:pPr>
      <w:r>
        <w:t xml:space="preserve">Five candidates re-targeted from the prior CMPB slate to span the four</w:t>
      </w:r>
      <w:r>
        <w:t xml:space="preserve"> </w:t>
      </w:r>
      <w:r>
        <w:t xml:space="preserve">reviewer axes IJNMBE expects:</w:t>
      </w:r>
      <w:r>
        <w:t xml:space="preserve"> </w:t>
      </w:r>
      <w:r>
        <w:rPr>
          <w:bCs/>
          <w:b/>
        </w:rPr>
        <w:t xml:space="preserve">methodology</w:t>
      </w:r>
      <w:r>
        <w:t xml:space="preserve"> </w:t>
      </w:r>
      <w:r>
        <w:t xml:space="preserve">(conformal prediction /</w:t>
      </w:r>
      <w:r>
        <w:t xml:space="preserve"> </w:t>
      </w:r>
      <w:r>
        <w:t xml:space="preserve">surrogate ML / OOD),</w:t>
      </w:r>
      <w:r>
        <w:t xml:space="preserve"> </w:t>
      </w:r>
      <w:r>
        <w:rPr>
          <w:bCs/>
          <w:b/>
        </w:rPr>
        <w:t xml:space="preserve">application domain</w:t>
      </w:r>
      <w:r>
        <w:t xml:space="preserve"> </w:t>
      </w:r>
      <w:r>
        <w:t xml:space="preserve">(biomedical physiology),</w:t>
      </w:r>
      <w:r>
        <w:t xml:space="preserve"> </w:t>
      </w:r>
      <w:r>
        <w:rPr>
          <w:bCs/>
          <w:b/>
        </w:rPr>
        <w:t xml:space="preserve">numerical methods</w:t>
      </w:r>
      <w:r>
        <w:t xml:space="preserve"> </w:t>
      </w:r>
      <w:r>
        <w:t xml:space="preserve">(with a recent IJNMBE publication record),</w:t>
      </w:r>
      <w:r>
        <w:t xml:space="preserve"> </w:t>
      </w:r>
      <w:r>
        <w:rPr>
          <w:bCs/>
          <w:b/>
        </w:rPr>
        <w:t xml:space="preserve">regulatory / domain application</w:t>
      </w:r>
      <w:r>
        <w:t xml:space="preserve"> </w:t>
      </w:r>
      <w:r>
        <w:t xml:space="preserve">(FAA / aerospace medicine), and</w:t>
      </w:r>
      <w:r>
        <w:t xml:space="preserve"> </w:t>
      </w:r>
      <w:r>
        <w:rPr>
          <w:bCs/>
          <w:b/>
        </w:rPr>
        <w:t xml:space="preserve">generalist</w:t>
      </w:r>
      <w:r>
        <w:t xml:space="preserve">. None has co-authored with the corresponding author in</w:t>
      </w:r>
      <w:r>
        <w:t xml:space="preserve"> </w:t>
      </w:r>
      <w:r>
        <w:t xml:space="preserve">the past three years; none shares an institution with the author</w:t>
      </w:r>
      <w:r>
        <w:t xml:space="preserve"> </w:t>
      </w:r>
      <w:r>
        <w:t xml:space="preserve">(Bogotá / Colombian Aerospace Force).</w:t>
      </w:r>
    </w:p>
    <w:p>
      <w:pPr>
        <w:pStyle w:val="BlockText"/>
      </w:pPr>
      <w:r>
        <w:rPr>
          <w:bCs/>
          <w:b/>
        </w:rPr>
        <w:t xml:space="preserve">Verification required before portal entry — flagged inline as</w:t>
      </w:r>
      <w:r>
        <w:rPr>
          <w:bCs/>
          <w:b/>
        </w:rPr>
        <w:t xml:space="preserve"> </w:t>
      </w:r>
      <w:r>
        <w:rPr>
          <w:bCs/>
          <w:b/>
        </w:rPr>
        <w:t xml:space="preserve">[VERIFY]:</w:t>
      </w:r>
      <w:r>
        <w:t xml:space="preserve"> </w:t>
      </w:r>
      <w:r>
        <w:t xml:space="preserve">confirm current affiliation, re-verify institutional email</w:t>
      </w:r>
      <w:r>
        <w:t xml:space="preserve"> </w:t>
      </w:r>
      <w:r>
        <w:t xml:space="preserve">(never personal Gmail/Yahoo), confirm no co-authorship on</w:t>
      </w:r>
      <w:r>
        <w:t xml:space="preserve"> </w:t>
      </w:r>
      <w:r>
        <w:t xml:space="preserve">Scopus/OpenAlex within 3 years, confirm not on the IJNMBE editorial</w:t>
      </w:r>
      <w:r>
        <w:t xml:space="preserve"> </w:t>
      </w:r>
      <w:r>
        <w:t xml:space="preserve">board at</w:t>
      </w:r>
      <w:r>
        <w:t xml:space="preserve"> </w:t>
      </w:r>
      <w:r>
        <w:rPr>
          <w:rStyle w:val="VerbatimChar"/>
        </w:rPr>
        <w:t xml:space="preserve">https://onlinelibrary.wiley.com/page/journal/20407947/homepage/EditorialBoard.html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1" w:name="X6bed1034b4b52d49735a49cc0b0288c0f531d17"/>
    <w:p>
      <w:pPr>
        <w:pStyle w:val="Heading2"/>
      </w:pPr>
      <w:r>
        <w:t xml:space="preserve">1 — Kyle Copeland (regulatory / domain application axis)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Affiliation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FAA Civil Aerospace Medical Institute (CAMI), Oklahoma City, OK, USA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kyle.copeland@faa.gov</w:t>
            </w:r>
            <w:r>
              <w:t xml:space="preserve"> </w:t>
            </w:r>
            <w:r>
              <w:rPr>
                <w:iCs/>
                <w:i/>
              </w:rPr>
              <w:t xml:space="preserve">(verified 2026-05-01 from FAA technical reports DOT/FAA/AM-21/4 and DOT/FAA/AM-16/05; AAM-631, Numerical Sciences Research Team)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ORCID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0000-0001-7893-6716</w:t>
              </w:r>
            </w:hyperlink>
          </w:p>
        </w:tc>
      </w:tr>
    </w:tbl>
    <w:p>
      <w:pPr>
        <w:pStyle w:val="BodyText"/>
      </w:pPr>
      <w:r>
        <w:rPr>
          <w:bCs/>
          <w:b/>
        </w:rPr>
        <w:t xml:space="preserve">Rationale.</w:t>
      </w:r>
      <w:r>
        <w:t xml:space="preserve"> </w:t>
      </w:r>
      <w:r>
        <w:t xml:space="preserve">Lead author of the CGEM Fortran model</w:t>
      </w:r>
      <w:r>
        <w:t xml:space="preserve"> </w:t>
      </w:r>
      <w:r>
        <w:t xml:space="preserve">(DOT/FAA/AM-23/6) that this manuscript wraps. Uniquely positioned to</w:t>
      </w:r>
      <w:r>
        <w:t xml:space="preserve"> </w:t>
      </w:r>
      <w:r>
        <w:t xml:space="preserve">verify that the additive ML wrapper preserves CGEM’s validation chain,</w:t>
      </w:r>
      <w:r>
        <w:t xml:space="preserve"> </w:t>
      </w:r>
      <w:r>
        <w:t xml:space="preserve">correctly reproduces the ODE outputs across the documented input</w:t>
      </w:r>
      <w:r>
        <w:t xml:space="preserve"> </w:t>
      </w:r>
      <w:r>
        <w:t xml:space="preserve">envelope, and respects the model’s published limitations and calibration</w:t>
      </w:r>
      <w:r>
        <w:t xml:space="preserve"> </w:t>
      </w:r>
      <w:r>
        <w:t xml:space="preserve">boundary.</w:t>
      </w:r>
    </w:p>
    <w:p>
      <w:pPr>
        <w:pStyle w:val="BodyText"/>
      </w:pPr>
      <w:r>
        <w:rPr>
          <w:bCs/>
          <w:b/>
        </w:rPr>
        <w:t xml:space="preserve">No conflict.</w:t>
      </w:r>
      <w:r>
        <w:t xml:space="preserve"> </w:t>
      </w:r>
      <w:r>
        <w:t xml:space="preserve">No co-authorship with Diego Malpica; no shared</w:t>
      </w:r>
      <w:r>
        <w:t xml:space="preserve"> </w:t>
      </w:r>
      <w:r>
        <w:t xml:space="preserve">institution (Oklahoma City vs. Bogotá); no prior peer-review history on</w:t>
      </w:r>
      <w:r>
        <w:t xml:space="preserve"> </w:t>
      </w:r>
      <w:r>
        <w:t xml:space="preserve">this manuscript.</w:t>
      </w:r>
    </w:p>
    <w:p>
      <w:r>
        <w:pict>
          <v:rect style="width:0;height:1.5pt" o:hralign="center" o:hrstd="t" o:hr="t"/>
        </w:pict>
      </w:r>
    </w:p>
    <w:bookmarkEnd w:id="21"/>
    <w:bookmarkStart w:id="23" w:name="Xb126f15115c1eb48d278920a3ec9f9e486e39c9"/>
    <w:p>
      <w:pPr>
        <w:pStyle w:val="Heading2"/>
      </w:pPr>
      <w:r>
        <w:t xml:space="preserve">2 — Wouter Huberts, PhD (numerical methods axis — recent IJNMBE author)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Affiliation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 of Biomedical Engineering, CARIM School for Cardiovascular Diseases, Maastricht University, The Netherlands. Secondary appointment: TU Eindhoven (</w:t>
            </w:r>
            <w:r>
              <w:rPr>
                <w:rStyle w:val="VerbatimChar"/>
              </w:rPr>
              <w:t xml:space="preserve">research.tue.nl/en/persons/wouter-huberts/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wouter.huberts@maastrichtuniversity.nl</w:t>
            </w:r>
            <w:r>
              <w:t xml:space="preserve"> </w:t>
            </w:r>
            <w:r>
              <w:rPr>
                <w:iCs/>
                <w:i/>
              </w:rPr>
              <w:t xml:space="preserve">(verified 2026-05-01 from Maastricht University Systems Biology and Bioinformatics staff page)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ORCID</w:t>
            </w:r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0000-0002-6463-6105</w:t>
              </w:r>
            </w:hyperlink>
            <w:r>
              <w:t xml:space="preserve"> </w:t>
            </w:r>
            <w:r>
              <w:rPr>
                <w:iCs/>
                <w:i/>
              </w:rPr>
              <w:t xml:space="preserve">([VERIFY])</w:t>
            </w:r>
          </w:p>
        </w:tc>
      </w:tr>
    </w:tbl>
    <w:p>
      <w:pPr>
        <w:pStyle w:val="BodyText"/>
      </w:pPr>
      <w:r>
        <w:rPr>
          <w:bCs/>
          <w:b/>
        </w:rPr>
        <w:t xml:space="preserve">Rationale.</w:t>
      </w:r>
      <w:r>
        <w:t xml:space="preserve"> </w:t>
      </w:r>
      <w:r>
        <w:t xml:space="preserve">Co-author of the foundational IJNMBE benchmark study of</w:t>
      </w:r>
      <w:r>
        <w:t xml:space="preserve"> </w:t>
      </w:r>
      <w:r>
        <w:t xml:space="preserve">one-dimensional arterial blood-flow numerical schemes (Boileau et al.,</w:t>
      </w:r>
      <w:r>
        <w:t xml:space="preserve"> </w:t>
      </w:r>
      <w:r>
        <w:rPr>
          <w:iCs/>
          <w:i/>
        </w:rPr>
        <w:t xml:space="preserve">IJNMBE</w:t>
      </w:r>
      <w:r>
        <w:t xml:space="preserve"> </w:t>
      </w:r>
      <w:r>
        <w:t xml:space="preserve">2015; reference [21] in this manuscript) — directly the</w:t>
      </w:r>
      <w:r>
        <w:t xml:space="preserve"> </w:t>
      </w:r>
      <w:r>
        <w:t xml:space="preserve">methodological neighbourhood of the present work. Senior expertise in</w:t>
      </w:r>
      <w:r>
        <w:t xml:space="preserve"> </w:t>
      </w:r>
      <w:r>
        <w:t xml:space="preserve">patient-specific cardiovascular ODE / 1-D numerical models, surrogate</w:t>
      </w:r>
      <w:r>
        <w:t xml:space="preserve"> </w:t>
      </w:r>
      <w:r>
        <w:t xml:space="preserve">modelling, and uncertainty quantification of physiological simulators.</w:t>
      </w:r>
      <w:r>
        <w:t xml:space="preserve"> </w:t>
      </w:r>
      <w:r>
        <w:t xml:space="preserve">Will be sympathetic to the additive-wrapper pattern and qualified to</w:t>
      </w:r>
      <w:r>
        <w:t xml:space="preserve"> </w:t>
      </w:r>
      <w:r>
        <w:t xml:space="preserve">assess whether the surrogate preserves the validated dynamics of the</w:t>
      </w:r>
      <w:r>
        <w:t xml:space="preserve"> </w:t>
      </w:r>
      <w:r>
        <w:t xml:space="preserve">underlying ODE solver.</w:t>
      </w:r>
    </w:p>
    <w:p>
      <w:pPr>
        <w:pStyle w:val="BodyText"/>
      </w:pPr>
      <w:r>
        <w:rPr>
          <w:bCs/>
          <w:b/>
        </w:rPr>
        <w:t xml:space="preserve">No conflict.</w:t>
      </w:r>
      <w:r>
        <w:t xml:space="preserve"> </w:t>
      </w:r>
      <w:r>
        <w:t xml:space="preserve">No co-authorship with Diego Malpica; no shared</w:t>
      </w:r>
      <w:r>
        <w:t xml:space="preserve"> </w:t>
      </w:r>
      <w:r>
        <w:t xml:space="preserve">institution.</w:t>
      </w:r>
      <w:r>
        <w:t xml:space="preserve"> </w:t>
      </w:r>
      <w:r>
        <w:rPr>
          <w:bCs/>
          <w:b/>
        </w:rPr>
        <w:t xml:space="preserve">Verified 2026-05-01 against the IJNMBE editorial board</w:t>
      </w:r>
      <w:r>
        <w:rPr>
          <w:bCs/>
          <w:b/>
        </w:rPr>
        <w:t xml:space="preserve"> </w:t>
      </w:r>
      <w:r>
        <w:rPr>
          <w:bCs/>
          <w:b/>
        </w:rPr>
        <w:t xml:space="preserve">snapshot at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docs/publication/2026-05-01_ijnmbe_editorial_board.md</w:t>
      </w:r>
      <w:r>
        <w:rPr>
          <w:bCs/>
          <w:b/>
        </w:rPr>
        <w:t xml:space="preserve">:</w:t>
      </w:r>
      <w:r>
        <w:rPr>
          <w:bCs/>
          <w:b/>
        </w:rPr>
        <w:t xml:space="preserve"> </w:t>
      </w:r>
      <w:r>
        <w:rPr>
          <w:bCs/>
          <w:b/>
        </w:rPr>
        <w:t xml:space="preserve">Wouter Huberts is NOT a current IJNMBE editor or board member.</w:t>
      </w:r>
    </w:p>
    <w:p>
      <w:pPr>
        <w:pStyle w:val="BlockText"/>
      </w:pPr>
      <w:r>
        <w:rPr>
          <w:bCs/>
          <w:b/>
        </w:rPr>
        <w:t xml:space="preserve">Replacement note (2026-05-01).</w:t>
      </w:r>
      <w:r>
        <w:t xml:space="preserve"> </w:t>
      </w:r>
      <w:r>
        <w:t xml:space="preserve">This slot was originally filled by</w:t>
      </w:r>
      <w:r>
        <w:t xml:space="preserve"> </w:t>
      </w:r>
      <w:r>
        <w:rPr>
          <w:bCs/>
          <w:b/>
        </w:rPr>
        <w:t xml:space="preserve">Jordi Alastruey</w:t>
      </w:r>
      <w:r>
        <w:t xml:space="preserve"> </w:t>
      </w:r>
      <w:r>
        <w:t xml:space="preserve">(KCL), but the live editorial-board lookup revealed</w:t>
      </w:r>
      <w:r>
        <w:t xml:space="preserve"> </w:t>
      </w:r>
      <w:r>
        <w:t xml:space="preserve">Alastruey is currently an</w:t>
      </w:r>
      <w:r>
        <w:t xml:space="preserve"> </w:t>
      </w:r>
      <w:r>
        <w:rPr>
          <w:bCs/>
          <w:b/>
        </w:rPr>
        <w:t xml:space="preserve">Associate Editor</w:t>
      </w:r>
      <w:r>
        <w:t xml:space="preserve"> </w:t>
      </w:r>
      <w:r>
        <w:t xml:space="preserve">of IJNMBE — a conflict</w:t>
      </w:r>
      <w:r>
        <w:t xml:space="preserve"> </w:t>
      </w:r>
      <w:r>
        <w:t xml:space="preserve">per the journal’s reviewer-suggestion policy. Huberts is a co-author of</w:t>
      </w:r>
      <w:r>
        <w:t xml:space="preserve"> </w:t>
      </w:r>
      <w:r>
        <w:t xml:space="preserve">the same Boileau et al. 2015 benchmark study, covers the same numerical-</w:t>
      </w:r>
      <w:r>
        <w:t xml:space="preserve"> </w:t>
      </w:r>
      <w:r>
        <w:t xml:space="preserve">methods + cardiovascular-ODE axis, and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on the editorial board.</w:t>
      </w:r>
    </w:p>
    <w:p>
      <w:r>
        <w:pict>
          <v:rect style="width:0;height:1.5pt" o:hralign="center" o:hrstd="t" o:hr="t"/>
        </w:pict>
      </w:r>
    </w:p>
    <w:bookmarkEnd w:id="23"/>
    <w:bookmarkStart w:id="25" w:name="X79322c5f8b2ab05d7d377937adc8dbbad1c20dc"/>
    <w:p>
      <w:pPr>
        <w:pStyle w:val="Heading2"/>
      </w:pPr>
      <w:r>
        <w:t xml:space="preserve">3 — Andrea Aliverti, PhD (application-domain / bioengineering axis)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Affiliation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Dipartimento di Elettronica, Informazione e Bioingegneria (DEIB), Politecnico di Milano, Italy. Confirmed Full Professor; Faculty Board, PhD in Bioengineering.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andrea.aliverti@polimi.it</w:t>
            </w:r>
            <w:r>
              <w:t xml:space="preserve"> </w:t>
            </w:r>
            <w:r>
              <w:rPr>
                <w:iCs/>
                <w:i/>
              </w:rPr>
              <w:t xml:space="preserve">(verified 2026-05-01: standard Politecnico di Milano</w:t>
            </w:r>
            <w:r>
              <w:rPr>
                <w:iCs/>
                <w:i/>
              </w:rPr>
              <w:t xml:space="preserve"> </w:t>
            </w:r>
            <w:r>
              <w:rPr>
                <w:rStyle w:val="VerbatimChar"/>
                <w:iCs/>
                <w:i/>
              </w:rPr>
              <w:t xml:space="preserve">firstname.lastname@polimi.it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format; profile confirmed at</w:t>
            </w:r>
            <w:r>
              <w:rPr>
                <w:iCs/>
                <w:i/>
              </w:rPr>
              <w:t xml:space="preserve"> </w:t>
            </w:r>
            <w:r>
              <w:rPr>
                <w:rStyle w:val="VerbatimChar"/>
                <w:iCs/>
                <w:i/>
              </w:rPr>
              <w:t xml:space="preserve">deib.polimi.it/eng/people/details/569774</w:t>
            </w:r>
            <w:r>
              <w:rPr>
                <w:iCs/>
                <w:i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ORCID</w:t>
            </w:r>
          </w:p>
        </w:tc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0000-0002-3892-3622</w:t>
              </w:r>
            </w:hyperlink>
          </w:p>
        </w:tc>
      </w:tr>
    </w:tbl>
    <w:p>
      <w:pPr>
        <w:pStyle w:val="BodyText"/>
      </w:pPr>
      <w:r>
        <w:rPr>
          <w:bCs/>
          <w:b/>
        </w:rPr>
        <w:t xml:space="preserve">Rationale.</w:t>
      </w:r>
      <w:r>
        <w:t xml:space="preserve"> </w:t>
      </w:r>
      <w:r>
        <w:t xml:space="preserve">Bioengineering chair working on physiological surrogate</w:t>
      </w:r>
      <w:r>
        <w:t xml:space="preserve"> </w:t>
      </w:r>
      <w:r>
        <w:t xml:space="preserve">modelling, cardiopulmonary system identification, and ML-augmented</w:t>
      </w:r>
      <w:r>
        <w:t xml:space="preserve"> </w:t>
      </w:r>
      <w:r>
        <w:t xml:space="preserve">physiological prediction. The methodological framing — XGBoost surrogate</w:t>
      </w:r>
      <w:r>
        <w:t xml:space="preserve"> </w:t>
      </w:r>
      <w:r>
        <w:t xml:space="preserve">+ Mondrian conformal + Mahalanobis OOD over a validated mechanistic ODE</w:t>
      </w:r>
      <w:r>
        <w:t xml:space="preserve"> </w:t>
      </w:r>
      <w:r>
        <w:t xml:space="preserve">model — is in his published wheelhouse. Will assess whether the</w:t>
      </w:r>
      <w:r>
        <w:t xml:space="preserve"> </w:t>
      </w:r>
      <w:r>
        <w:t xml:space="preserve">ML-physiology integration is biophysically defensible and whether the</w:t>
      </w:r>
      <w:r>
        <w:t xml:space="preserve"> </w:t>
      </w:r>
      <w:r>
        <w:t xml:space="preserve">sensitivity analysis correctly identifies the dominant haemodynamic</w:t>
      </w:r>
      <w:r>
        <w:t xml:space="preserve"> </w:t>
      </w:r>
      <w:r>
        <w:t xml:space="preserve">drivers.</w:t>
      </w:r>
    </w:p>
    <w:p>
      <w:pPr>
        <w:pStyle w:val="BodyText"/>
      </w:pPr>
      <w:r>
        <w:rPr>
          <w:bCs/>
          <w:b/>
        </w:rPr>
        <w:t xml:space="preserve">No conflict.</w:t>
      </w:r>
      <w:r>
        <w:t xml:space="preserve"> </w:t>
      </w:r>
      <w:r>
        <w:t xml:space="preserve">No co-authorship with Diego Malpica; no shared</w:t>
      </w:r>
      <w:r>
        <w:t xml:space="preserve"> </w:t>
      </w:r>
      <w:r>
        <w:t xml:space="preserve">institution; carried over from the previous CMPB slate where the same</w:t>
      </w:r>
      <w:r>
        <w:t xml:space="preserve"> </w:t>
      </w:r>
      <w:r>
        <w:t xml:space="preserve">no-conflict checks passed.</w:t>
      </w:r>
    </w:p>
    <w:p>
      <w:r>
        <w:pict>
          <v:rect style="width:0;height:1.5pt" o:hralign="center" o:hrstd="t" o:hr="t"/>
        </w:pict>
      </w:r>
    </w:p>
    <w:bookmarkEnd w:id="25"/>
    <w:bookmarkStart w:id="28" w:name="X831d367c05092ff33cd16012c459133b438b10a"/>
    <w:p>
      <w:pPr>
        <w:pStyle w:val="Heading2"/>
      </w:pPr>
      <w:r>
        <w:t xml:space="preserve">4 — Anastasios N. Angelopoulos, PhD (conformal-prediction methodology axis)</w:t>
      </w:r>
    </w:p>
    <w:p>
      <w:pPr>
        <w:pStyle w:val="BlockText"/>
      </w:pPr>
      <w:r>
        <w:t xml:space="preserve">⚠</w:t>
      </w:r>
      <w:r>
        <w:t xml:space="preserve"> </w:t>
      </w:r>
      <w:r>
        <w:rPr>
          <w:bCs/>
          <w:b/>
        </w:rPr>
        <w:t xml:space="preserve">AFFILIATION FLAG (verified 2026-05-01).</w:t>
      </w:r>
      <w:r>
        <w:t xml:space="preserve"> </w:t>
      </w:r>
      <w:r>
        <w:t xml:space="preserve">Per his personal page</w:t>
      </w:r>
      <w:r>
        <w:t xml:space="preserve"> </w:t>
      </w:r>
      <w:r>
        <w:rPr>
          <w:rStyle w:val="VerbatimChar"/>
        </w:rPr>
        <w:t xml:space="preserve">angelopoulos.ai</w:t>
      </w:r>
      <w:r>
        <w:t xml:space="preserve">, Angelopoulos is now</w:t>
      </w:r>
      <w:r>
        <w:t xml:space="preserve"> </w:t>
      </w:r>
      <w:r>
        <w:rPr>
          <w:bCs/>
          <w:b/>
        </w:rPr>
        <w:t xml:space="preserve">co-founder and CEO of Arena</w:t>
      </w:r>
      <w:r>
        <w:t xml:space="preserve"> </w:t>
      </w:r>
      <w:r>
        <w:t xml:space="preserve">(the LMSys / Chatbot Arena spin-out), having</w:t>
      </w:r>
      <w:r>
        <w:t xml:space="preserve"> </w:t>
      </w:r>
      <w:r>
        <w:t xml:space="preserve">“</w:t>
      </w:r>
      <w:r>
        <w:t xml:space="preserve">previously</w:t>
      </w:r>
      <w:r>
        <w:t xml:space="preserve">”</w:t>
      </w:r>
      <w:r>
        <w:t xml:space="preserve"> </w:t>
      </w:r>
      <w:r>
        <w:t xml:space="preserve">been a</w:t>
      </w:r>
      <w:r>
        <w:t xml:space="preserve"> </w:t>
      </w:r>
      <w:r>
        <w:t xml:space="preserve">Postdoctoral Scholar at UC Berkeley. His EECS-Berkeley email may be</w:t>
      </w:r>
      <w:r>
        <w:t xml:space="preserve"> </w:t>
      </w:r>
      <w:r>
        <w:t xml:space="preserve">inactive, and Arena is a private company — IJNMBE expects an</w:t>
      </w:r>
      <w:r>
        <w:t xml:space="preserve"> </w:t>
      </w:r>
      <w:r>
        <w:rPr>
          <w:iCs/>
          <w:i/>
        </w:rPr>
        <w:t xml:space="preserve">institutional</w:t>
      </w:r>
      <w:r>
        <w:t xml:space="preserve"> </w:t>
      </w:r>
      <w:r>
        <w:t xml:space="preserve">email for suggested reviewers.</w:t>
      </w:r>
      <w:r>
        <w:t xml:space="preserve"> </w:t>
      </w:r>
      <w:r>
        <w:rPr>
          <w:bCs/>
          <w:b/>
        </w:rPr>
        <w:t xml:space="preserve">Two viable paths: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Use his personal academic page contact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angelopoulos.ai</w:t>
      </w:r>
      <w:r>
        <w:t xml:space="preserve"> </w:t>
      </w:r>
      <w:r>
        <w:t xml:space="preserve">(he forwarding-aliases to whatever active address he prefers).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Substitute</w:t>
      </w:r>
      <w:r>
        <w:t xml:space="preserve"> </w:t>
      </w:r>
      <w:r>
        <w:t xml:space="preserve">with a Berkeley-active conformal-prediction</w:t>
      </w:r>
      <w:r>
        <w:t xml:space="preserve"> </w:t>
      </w:r>
      <w:r>
        <w:t xml:space="preserve">methodologist — strongest candidate is</w:t>
      </w:r>
      <w:r>
        <w:t xml:space="preserve"> </w:t>
      </w:r>
      <w:r>
        <w:rPr>
          <w:bCs/>
          <w:b/>
        </w:rPr>
        <w:t xml:space="preserve">Stephen Bates</w:t>
      </w:r>
      <w:r>
        <w:t xml:space="preserve"> </w:t>
      </w:r>
      <w:r>
        <w:t xml:space="preserve">(his</w:t>
      </w:r>
      <w:r>
        <w:t xml:space="preserve"> </w:t>
      </w:r>
      <w:r>
        <w:t xml:space="preserve">primary co-author on the</w:t>
      </w:r>
      <w:r>
        <w:t xml:space="preserve"> </w:t>
      </w:r>
      <w:r>
        <w:rPr>
          <w:iCs/>
          <w:i/>
        </w:rPr>
        <w:t xml:space="preserve">Foundations and Trends</w:t>
      </w:r>
      <w:r>
        <w:t xml:space="preserve"> </w:t>
      </w:r>
      <w:r>
        <w:t xml:space="preserve">tutorial cited as</w:t>
      </w:r>
      <w:r>
        <w:t xml:space="preserve"> </w:t>
      </w:r>
      <w:r>
        <w:t xml:space="preserve">ref [18]), now Assistant Professor at MIT EECS / IDSS,</w:t>
      </w:r>
      <w:r>
        <w:t xml:space="preserve"> </w:t>
      </w:r>
      <w:r>
        <w:rPr>
          <w:rStyle w:val="VerbatimChar"/>
        </w:rPr>
        <w:t xml:space="preserve">sbates@mit.edu</w:t>
      </w:r>
      <w:r>
        <w:t xml:space="preserve">. Bates would cover the same conformal-methodology</w:t>
      </w:r>
      <w:r>
        <w:t xml:space="preserve"> </w:t>
      </w:r>
      <w:r>
        <w:t xml:space="preserve">axis with an active institutional email.</w:t>
      </w:r>
    </w:p>
    <w:p>
      <w:pPr>
        <w:pStyle w:val="BlockText"/>
      </w:pPr>
      <w:r>
        <w:t xml:space="preserve">The default suggestion below remains Angelopoulos because he is the</w:t>
      </w:r>
      <w:r>
        <w:t xml:space="preserve"> </w:t>
      </w:r>
      <w:r>
        <w:t xml:space="preserve">first author of the canonical reference cited in the manuscript; the</w:t>
      </w:r>
      <w:r>
        <w:t xml:space="preserve"> </w:t>
      </w:r>
      <w:r>
        <w:t xml:space="preserve">portal entry should use the</w:t>
      </w:r>
      <w:r>
        <w:t xml:space="preserve"> </w:t>
      </w:r>
      <w:r>
        <w:rPr>
          <w:rStyle w:val="VerbatimChar"/>
        </w:rPr>
        <w:t xml:space="preserve">angelopoulos.ai</w:t>
      </w:r>
      <w:r>
        <w:t xml:space="preserve"> </w:t>
      </w:r>
      <w:r>
        <w:t xml:space="preserve">contact form unless</w:t>
      </w:r>
      <w:r>
        <w:t xml:space="preserve"> </w:t>
      </w:r>
      <w:r>
        <w:t xml:space="preserve">Diego prefers the Bates substitution.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Affiliation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Co-founder &amp; CEO, Arena.</w:t>
            </w:r>
            <w:r>
              <w:t xml:space="preserve"> </w:t>
            </w:r>
            <w:r>
              <w:rPr>
                <w:iCs/>
                <w:i/>
              </w:rPr>
              <w:t xml:space="preserve">(Previously: Postdoctoral Scholar, EECS, UC Berkeley.)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via</w:t>
            </w:r>
            <w:r>
              <w:t xml:space="preserve"> </w:t>
            </w:r>
            <w:r>
              <w:rPr>
                <w:rStyle w:val="VerbatimChar"/>
              </w:rPr>
              <w:t xml:space="preserve">https://angelopoulos.ai</w:t>
            </w:r>
            <w:r>
              <w:t xml:space="preserve"> </w:t>
            </w:r>
            <w:r>
              <w:t xml:space="preserve">(active personal academic page). Berkeley-EECS address</w:t>
            </w:r>
            <w:r>
              <w:t xml:space="preserve"> </w:t>
            </w:r>
            <w:r>
              <w:rPr>
                <w:rStyle w:val="VerbatimChar"/>
              </w:rPr>
              <w:t xml:space="preserve">angelopoulos@berkeley.edu</w:t>
            </w:r>
            <w:r>
              <w:t xml:space="preserve"> </w:t>
            </w:r>
            <w:r>
              <w:t xml:space="preserve">listed for completeness;</w:t>
            </w:r>
            <w:r>
              <w:t xml:space="preserve"> </w:t>
            </w:r>
            <w:r>
              <w:rPr>
                <w:bCs/>
                <w:b/>
              </w:rPr>
              <w:t xml:space="preserve">may no longer forward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ORCID</w:t>
            </w:r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0000-0002-5295-5556</w:t>
              </w:r>
            </w:hyperlink>
            <w:r>
              <w:t xml:space="preserve"> </w:t>
            </w:r>
            <w:r>
              <w:rPr>
                <w:iCs/>
                <w:i/>
              </w:rPr>
              <w:t xml:space="preserve">([VERIFY])</w:t>
            </w:r>
          </w:p>
        </w:tc>
      </w:tr>
    </w:tbl>
    <w:p>
      <w:pPr>
        <w:pStyle w:val="BodyText"/>
      </w:pPr>
      <w:r>
        <w:rPr>
          <w:bCs/>
          <w:b/>
        </w:rPr>
        <w:t xml:space="preserve">Rationale.</w:t>
      </w:r>
      <w:r>
        <w:t xml:space="preserve"> </w:t>
      </w:r>
      <w:r>
        <w:t xml:space="preserve">First author of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 gentle introduction to conformal</w:t>
      </w:r>
      <w:r>
        <w:rPr>
          <w:iCs/>
          <w:i/>
        </w:rPr>
        <w:t xml:space="preserve"> </w:t>
      </w:r>
      <w:r>
        <w:rPr>
          <w:iCs/>
          <w:i/>
        </w:rPr>
        <w:t xml:space="preserve">prediction and distribution-free uncertainty quantification</w:t>
      </w:r>
      <w:r>
        <w:rPr>
          <w:iCs/>
          <w:i/>
        </w:rPr>
        <w:t xml:space="preserve">”</w:t>
      </w:r>
      <w:r>
        <w:t xml:space="preserve"> </w:t>
      </w:r>
      <w:r>
        <w:t xml:space="preserve">(Found.</w:t>
      </w:r>
      <w:r>
        <w:t xml:space="preserve"> </w:t>
      </w:r>
      <w:r>
        <w:t xml:space="preserve">Trends Mach. Learn. 2023; cited as ref [18] in the manuscript), one of</w:t>
      </w:r>
      <w:r>
        <w:t xml:space="preserve"> </w:t>
      </w:r>
      <w:r>
        <w:t xml:space="preserve">the canonical references for the split-conformal and Mondrian-conformal</w:t>
      </w:r>
      <w:r>
        <w:t xml:space="preserve"> </w:t>
      </w:r>
      <w:r>
        <w:t xml:space="preserve">machinery used in this paper. Best qualified to assess whether the</w:t>
      </w:r>
      <w:r>
        <w:t xml:space="preserve"> </w:t>
      </w:r>
      <w:r>
        <w:t xml:space="preserve">conformal calibration is mathematically correct and whether the under-</w:t>
      </w:r>
      <w:r>
        <w:t xml:space="preserve"> </w:t>
      </w:r>
      <w:r>
        <w:t xml:space="preserve">coverage on the time-to-G-LOC target is appropriately diagnosed and</w:t>
      </w:r>
      <w:r>
        <w:t xml:space="preserve"> </w:t>
      </w:r>
      <w:r>
        <w:t xml:space="preserve">reported.</w:t>
      </w:r>
    </w:p>
    <w:p>
      <w:pPr>
        <w:pStyle w:val="BodyText"/>
      </w:pPr>
      <w:r>
        <w:rPr>
          <w:bCs/>
          <w:b/>
        </w:rPr>
        <w:t xml:space="preserve">No conflict.</w:t>
      </w:r>
      <w:r>
        <w:t xml:space="preserve"> </w:t>
      </w:r>
      <w:r>
        <w:t xml:space="preserve">No co-authorship with Diego Malpica; no shared</w:t>
      </w:r>
      <w:r>
        <w:t xml:space="preserve"> </w:t>
      </w:r>
      <w:r>
        <w:t xml:space="preserve">institution. Cited in the manuscript bibliography (ref [18]); IJNMBE does</w:t>
      </w:r>
      <w:r>
        <w:t xml:space="preserve"> </w:t>
      </w:r>
      <w:r>
        <w:t xml:space="preserve">not consider citation alone a conflict, but the reviewer slate is</w:t>
      </w:r>
      <w:r>
        <w:t xml:space="preserve"> </w:t>
      </w:r>
      <w:r>
        <w:t xml:space="preserve">deliberately diverse on this axis.</w:t>
      </w:r>
      <w:r>
        <w:t xml:space="preserve"> </w:t>
      </w:r>
      <w:r>
        <w:rPr>
          <w:bCs/>
          <w:b/>
        </w:rPr>
        <w:t xml:space="preserve">Verified against the IJNMBE editorial</w:t>
      </w:r>
      <w:r>
        <w:rPr>
          <w:bCs/>
          <w:b/>
        </w:rPr>
        <w:t xml:space="preserve"> </w:t>
      </w:r>
      <w:r>
        <w:rPr>
          <w:bCs/>
          <w:b/>
        </w:rPr>
        <w:t xml:space="preserve">board (2026-05-01): not a board member.</w:t>
      </w:r>
    </w:p>
    <w:bookmarkStart w:id="27" w:name="X625140494e3a074236fe71970683193567d6b00"/>
    <w:p>
      <w:pPr>
        <w:pStyle w:val="Heading3"/>
      </w:pPr>
      <w:r>
        <w:t xml:space="preserve">Backup candidate (if Angelopoulos contact path fails) — Stephen Bates, PhD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Affiliation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 of Electrical Engineering and Computer Science, IDSS, Massachusetts Institute of Technology, USA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sbates@mit.edu</w:t>
            </w:r>
            <w:r>
              <w:t xml:space="preserve"> </w:t>
            </w:r>
            <w:r>
              <w:rPr>
                <w:iCs/>
                <w:i/>
              </w:rPr>
              <w:t xml:space="preserve">([VERIFY] via MIT EECS directory)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ORCID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([VERIFY])</w:t>
            </w:r>
          </w:p>
        </w:tc>
      </w:tr>
    </w:tbl>
    <w:p>
      <w:pPr>
        <w:pStyle w:val="BodyText"/>
      </w:pPr>
      <w:r>
        <w:rPr>
          <w:bCs/>
          <w:b/>
        </w:rPr>
        <w:t xml:space="preserve">Rationale.</w:t>
      </w:r>
      <w:r>
        <w:t xml:space="preserve"> </w:t>
      </w:r>
      <w:r>
        <w:t xml:space="preserve">Co-author with Angelopoulos on the</w:t>
      </w:r>
      <w:r>
        <w:t xml:space="preserve"> </w:t>
      </w:r>
      <w:r>
        <w:rPr>
          <w:iCs/>
          <w:i/>
        </w:rPr>
        <w:t xml:space="preserve">Foundations and</w:t>
      </w:r>
      <w:r>
        <w:rPr>
          <w:iCs/>
          <w:i/>
        </w:rPr>
        <w:t xml:space="preserve"> </w:t>
      </w:r>
      <w:r>
        <w:rPr>
          <w:iCs/>
          <w:i/>
        </w:rPr>
        <w:t xml:space="preserve">Trends</w:t>
      </w:r>
      <w:r>
        <w:t xml:space="preserve"> </w:t>
      </w:r>
      <w:r>
        <w:t xml:space="preserve">tutorial (ref [18]) and on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Conformal Risk Control</w:t>
      </w:r>
      <w:r>
        <w:rPr>
          <w:iCs/>
          <w:i/>
        </w:rPr>
        <w:t xml:space="preserve">”</w:t>
      </w:r>
      <w:r>
        <w:t xml:space="preserve"> </w:t>
      </w:r>
      <w:r>
        <w:t xml:space="preserve">(ICLR</w:t>
      </w:r>
      <w:r>
        <w:t xml:space="preserve"> </w:t>
      </w:r>
      <w:r>
        <w:t xml:space="preserve">2024). Active institutional email at MIT; same methodological axis;</w:t>
      </w:r>
      <w:r>
        <w:t xml:space="preserve"> </w:t>
      </w:r>
      <w:r>
        <w:t xml:space="preserve">clean substitute for Angelopoulos if the latter’s contact path fails.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X2655c532fedbc9a09f9b01c101234304573a024"/>
    <w:p>
      <w:pPr>
        <w:pStyle w:val="Heading2"/>
      </w:pPr>
      <w:r>
        <w:t xml:space="preserve">5 — Henrik Boström, PhD (Mondrian-conformal-methodology generalist axis)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Affiliation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Division of Software and Computer Systems, KTH Royal Institute of Technology, Stockholm, Sweden. Profile:</w:t>
            </w:r>
            <w:r>
              <w:t xml:space="preserve"> </w:t>
            </w:r>
            <w:r>
              <w:rPr>
                <w:rStyle w:val="VerbatimChar"/>
              </w:rPr>
              <w:t xml:space="preserve">kth.se/profile/henbos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bostromh@kth.se</w:t>
            </w:r>
            <w:r>
              <w:t xml:space="preserve"> </w:t>
            </w:r>
            <w:r>
              <w:rPr>
                <w:iCs/>
                <w:i/>
              </w:rPr>
              <w:t xml:space="preserve">(verified 2026-05-01 from KTH profile + the same address on his published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Mondrian Conformal Regressors</w:t>
            </w:r>
            <w:r>
              <w:rPr>
                <w:iCs/>
                <w:i/>
              </w:rPr>
              <w:t xml:space="preserve">”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PMLR 2020 and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Mondrian Conformal Predictive Distributions</w:t>
            </w:r>
            <w:r>
              <w:rPr>
                <w:iCs/>
                <w:i/>
              </w:rPr>
              <w:t xml:space="preserve">”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PMLR 2021 papers)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ORCID</w:t>
            </w:r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0000-0001-8382-0300</w:t>
              </w:r>
            </w:hyperlink>
          </w:p>
        </w:tc>
      </w:tr>
    </w:tbl>
    <w:p>
      <w:pPr>
        <w:pStyle w:val="BodyText"/>
      </w:pPr>
      <w:r>
        <w:rPr>
          <w:bCs/>
          <w:b/>
        </w:rPr>
        <w:t xml:space="preserve">Rationale.</w:t>
      </w:r>
      <w:r>
        <w:t xml:space="preserve"> </w:t>
      </w:r>
      <w:r>
        <w:t xml:space="preserve">First author of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Mondrian conformal predictive</w:t>
      </w:r>
      <w:r>
        <w:rPr>
          <w:iCs/>
          <w:i/>
        </w:rPr>
        <w:t xml:space="preserve"> </w:t>
      </w:r>
      <w:r>
        <w:rPr>
          <w:iCs/>
          <w:i/>
        </w:rPr>
        <w:t xml:space="preserve">distributions</w:t>
      </w:r>
      <w:r>
        <w:rPr>
          <w:iCs/>
          <w:i/>
        </w:rPr>
        <w:t xml:space="preserve">”</w:t>
      </w:r>
      <w:r>
        <w:t xml:space="preserve"> </w:t>
      </w:r>
      <w:r>
        <w:t xml:space="preserve">(COPA 2018, PMLR 91; cited as ref [12] in the</w:t>
      </w:r>
      <w:r>
        <w:t xml:space="preserve"> </w:t>
      </w:r>
      <w:r>
        <w:t xml:space="preserve">manuscript) — the foundational reference for the per-stratum Mondrian</w:t>
      </w:r>
      <w:r>
        <w:t xml:space="preserve"> </w:t>
      </w:r>
      <w:r>
        <w:t xml:space="preserve">calibration adopted in this paper. Best qualified to evaluate whether the</w:t>
      </w:r>
      <w:r>
        <w:t xml:space="preserve"> </w:t>
      </w:r>
      <w:r>
        <w:t xml:space="preserve">maneuver-category Mondrian stratification was set up correctly and</w:t>
      </w:r>
      <w:r>
        <w:t xml:space="preserve"> </w:t>
      </w:r>
      <w:r>
        <w:t xml:space="preserve">whether the empirical per-stratum coverage results are consistent with</w:t>
      </w:r>
      <w:r>
        <w:t xml:space="preserve"> </w:t>
      </w:r>
      <w:r>
        <w:t xml:space="preserve">Mondrian conformal theory’s finite-sample behaviour. Senior generalist</w:t>
      </w:r>
      <w:r>
        <w:t xml:space="preserve"> </w:t>
      </w:r>
      <w:r>
        <w:t xml:space="preserve">voice on conformal predictive distributions broadly.</w:t>
      </w:r>
    </w:p>
    <w:p>
      <w:pPr>
        <w:pStyle w:val="BodyText"/>
      </w:pPr>
      <w:r>
        <w:rPr>
          <w:bCs/>
          <w:b/>
        </w:rPr>
        <w:t xml:space="preserve">No conflict.</w:t>
      </w:r>
      <w:r>
        <w:t xml:space="preserve"> </w:t>
      </w:r>
      <w:r>
        <w:t xml:space="preserve">No co-authorship with Diego Malpica; no shared</w:t>
      </w:r>
      <w:r>
        <w:t xml:space="preserve"> </w:t>
      </w:r>
      <w:r>
        <w:t xml:space="preserve">institution. Cited in the manuscript bibliography (ref [12]). Same</w:t>
      </w:r>
      <w:r>
        <w:t xml:space="preserve"> </w:t>
      </w:r>
      <w:r>
        <w:t xml:space="preserve">acceptable-citation reasoning as candidate #4.</w:t>
      </w:r>
    </w:p>
    <w:p>
      <w:r>
        <w:pict>
          <v:rect style="width:0;height:1.5pt" o:hralign="center" o:hrstd="t" o:hr="t"/>
        </w:pict>
      </w:r>
    </w:p>
    <w:bookmarkEnd w:id="30"/>
    <w:bookmarkStart w:id="31" w:name="slate-balance"/>
    <w:p>
      <w:pPr>
        <w:pStyle w:val="Heading2"/>
      </w:pPr>
      <w:r>
        <w:t xml:space="preserve">Slate balance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Methodology 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Numerical-methods 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Generalist axis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Copeland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(G-LOC physiology)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Huberts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(cardiovascular)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</w:t>
            </w:r>
            <w:r>
              <w:t xml:space="preserve"> </w:t>
            </w:r>
            <w:r>
              <w:t xml:space="preserve">(recent IJNMBE)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Aliverti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(ML-physiology)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</w:t>
            </w:r>
            <w:r>
              <w:t xml:space="preserve"> </w:t>
            </w:r>
            <w:r>
              <w:t xml:space="preserve">(bioengineering)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Angelopoulos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</w:t>
            </w:r>
            <w:r>
              <w:t xml:space="preserve"> </w:t>
            </w:r>
            <w:r>
              <w:t xml:space="preserve">(conformal)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Boström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</w:t>
            </w:r>
            <w:r>
              <w:t xml:space="preserve"> </w:t>
            </w:r>
            <w:r>
              <w:t xml:space="preserve">(Mondrian)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</w:t>
            </w:r>
          </w:p>
        </w:tc>
      </w:tr>
    </w:tbl>
    <w:p>
      <w:pPr>
        <w:pStyle w:val="BodyText"/>
      </w:pPr>
      <w:r>
        <w:t xml:space="preserve">All five axes have at least one primary reviewer, and the slate avoids</w:t>
      </w:r>
      <w:r>
        <w:t xml:space="preserve"> </w:t>
      </w:r>
      <w:r>
        <w:t xml:space="preserve">single-axis monoculture (the methodology axis is covered twice — by</w:t>
      </w:r>
      <w:r>
        <w:t xml:space="preserve"> </w:t>
      </w:r>
      <w:r>
        <w:t xml:space="preserve">different sub-disciplines — given how central the conformal-prediction</w:t>
      </w:r>
      <w:r>
        <w:t xml:space="preserve"> </w:t>
      </w:r>
      <w:r>
        <w:t xml:space="preserve">machinery is to the contribution). The IJNMBE-specific numerical-methods</w:t>
      </w:r>
      <w:r>
        <w:t xml:space="preserve"> </w:t>
      </w:r>
      <w:r>
        <w:t xml:space="preserve">axis is anchored by Huberts, whose IJNMBE publication record makes the</w:t>
      </w:r>
      <w:r>
        <w:t xml:space="preserve"> </w:t>
      </w:r>
      <w:r>
        <w:t xml:space="preserve">slate compliant with the journal’s preference for at least one reviewer</w:t>
      </w:r>
      <w:r>
        <w:t xml:space="preserve"> </w:t>
      </w:r>
      <w:r>
        <w:t xml:space="preserve">familiar with its style and standards.</w:t>
      </w:r>
    </w:p>
    <w:p>
      <w:r>
        <w:pict>
          <v:rect style="width:0;height:1.5pt" o:hralign="center" o:hrstd="t" o:hr="t"/>
        </w:pict>
      </w:r>
    </w:p>
    <w:bookmarkEnd w:id="31"/>
    <w:bookmarkStart w:id="32" w:name="Xa6b793d1e0c7374cd88d5cf3069b3905ef03be4"/>
    <w:p>
      <w:pPr>
        <w:pStyle w:val="Heading2"/>
      </w:pPr>
      <w:r>
        <w:t xml:space="preserve">What was changed vs. the prior CMPB slate</w:t>
      </w:r>
    </w:p>
    <w:p>
      <w:pPr>
        <w:pStyle w:val="FirstParagraph"/>
      </w:pPr>
      <w:r>
        <w:t xml:space="preserve">The CMPB slate (</w:t>
      </w:r>
      <w:r>
        <w:rPr>
          <w:rStyle w:val="VerbatimChar"/>
        </w:rPr>
        <w:t xml:space="preserve">suggested_reviewers.md</w:t>
      </w:r>
      <w:r>
        <w:t xml:space="preserve">, in this directory) emphasised:</w:t>
      </w:r>
      <w:r>
        <w:t xml:space="preserve"> </w:t>
      </w:r>
      <w:r>
        <w:t xml:space="preserve">Copeland (FAA/regulatory), Aliverti (bioengineering), and three CMPB-</w:t>
      </w:r>
      <w:r>
        <w:t xml:space="preserve"> </w:t>
      </w:r>
      <w:r>
        <w:t xml:space="preserve">adjacent ML-in-medicine reviewers. The IJNMBE slate retains Copeland and</w:t>
      </w:r>
      <w:r>
        <w:t xml:space="preserve"> </w:t>
      </w:r>
      <w:r>
        <w:t xml:space="preserve">Aliverti (axes are still relevant) and</w:t>
      </w:r>
      <w:r>
        <w:t xml:space="preserve"> </w:t>
      </w:r>
      <w:r>
        <w:rPr>
          <w:bCs/>
          <w:b/>
        </w:rPr>
        <w:t xml:space="preserve">replaces three slots</w:t>
      </w:r>
      <w:r>
        <w:t xml:space="preserve"> </w:t>
      </w:r>
      <w:r>
        <w:t xml:space="preserve">with: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Huberts</w:t>
      </w:r>
      <w:r>
        <w:t xml:space="preserve"> </w:t>
      </w:r>
      <w:r>
        <w:t xml:space="preserve">— adds the IJNMBE-publication credential the previous list</w:t>
      </w:r>
      <w:r>
        <w:t xml:space="preserve"> </w:t>
      </w:r>
      <w:r>
        <w:t xml:space="preserve">lacked, via the foundational Boileau et al. 2015 IJNMBE benchmark; not</w:t>
      </w:r>
      <w:r>
        <w:t xml:space="preserve"> </w:t>
      </w:r>
      <w:r>
        <w:t xml:space="preserve">on the editorial board (verified 2026-05-01).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Angelopoulos</w:t>
      </w:r>
      <w:r>
        <w:t xml:space="preserve"> </w:t>
      </w:r>
      <w:r>
        <w:t xml:space="preserve">— promotes conformal-prediction methodology to a</w:t>
      </w:r>
      <w:r>
        <w:t xml:space="preserve"> </w:t>
      </w:r>
      <w:r>
        <w:t xml:space="preserve">primary axis (CMPB review pool was less specialised on this).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Boström</w:t>
      </w:r>
      <w:r>
        <w:t xml:space="preserve"> </w:t>
      </w:r>
      <w:r>
        <w:t xml:space="preserve">— same, for Mondrian specifically.</w:t>
      </w:r>
    </w:p>
    <w:p>
      <w:pPr>
        <w:pStyle w:val="FirstParagraph"/>
      </w:pPr>
      <w:r>
        <w:t xml:space="preserve">The CMPB list’s ML-in-medicine reviewer slot has been retired because</w:t>
      </w:r>
      <w:r>
        <w:t xml:space="preserve"> </w:t>
      </w:r>
      <w:r>
        <w:t xml:space="preserve">IJNMBE’s review pool naturally over-indexes on numerical methods and</w:t>
      </w:r>
      <w:r>
        <w:t xml:space="preserve"> </w:t>
      </w:r>
      <w:r>
        <w:t xml:space="preserve">conformal/Bayesian UQ rather than on clinical-informatics ML.</w:t>
      </w:r>
    </w:p>
    <w:p>
      <w:pPr>
        <w:pStyle w:val="BlockText"/>
      </w:pPr>
      <w:r>
        <w:rPr>
          <w:bCs/>
          <w:b/>
        </w:rPr>
        <w:t xml:space="preserve">Editorial-board cross-check (2026-05-01).</w:t>
      </w:r>
      <w:r>
        <w:t xml:space="preserve"> </w:t>
      </w:r>
      <w:r>
        <w:t xml:space="preserve">All five candidates were</w:t>
      </w:r>
      <w:r>
        <w:t xml:space="preserve"> </w:t>
      </w:r>
      <w:r>
        <w:t xml:space="preserve">cross-checked against the live IJNMBE editorial-board page via Firecrawl</w:t>
      </w:r>
      <w:r>
        <w:t xml:space="preserve"> </w:t>
      </w:r>
      <w:r>
        <w:t xml:space="preserve">on 2026-05-01; the snapshot is committed at</w:t>
      </w:r>
      <w:r>
        <w:t xml:space="preserve"> </w:t>
      </w:r>
      <w:r>
        <w:rPr>
          <w:rStyle w:val="VerbatimChar"/>
        </w:rPr>
        <w:t xml:space="preserve">docs/publication/2026-05-01_ijnmbe_editorial_board.md</w:t>
      </w:r>
      <w:r>
        <w:t xml:space="preserve">. Result:</w:t>
      </w:r>
      <w:r>
        <w:t xml:space="preserve"> </w:t>
      </w:r>
      <w:r>
        <w:t xml:space="preserve">Copeland, Huberts, Aliverti, Angelopoulos, and Boström are all clean</w:t>
      </w:r>
      <w:r>
        <w:t xml:space="preserve"> </w:t>
      </w:r>
      <w:r>
        <w:t xml:space="preserve">(none currently listed as Editor-in-Chief, Associate Editor, Honorary</w:t>
      </w:r>
      <w:r>
        <w:t xml:space="preserve"> </w:t>
      </w:r>
      <w:r>
        <w:t xml:space="preserve">Editor, or Editorial Board Member). The original draft had Alastruey</w:t>
      </w:r>
      <w:r>
        <w:t xml:space="preserve"> </w:t>
      </w:r>
      <w:r>
        <w:t xml:space="preserve">in slot 2 — that name was removed when the cross-check revealed his</w:t>
      </w:r>
      <w:r>
        <w:t xml:space="preserve"> </w:t>
      </w:r>
      <w:r>
        <w:t xml:space="preserve">Associate Editor status.</w:t>
      </w:r>
    </w:p>
    <w:p>
      <w:r>
        <w:pict>
          <v:rect style="width:0;height:1.5pt" o:hralign="center" o:hrstd="t" o:hr="t"/>
        </w:pict>
      </w:r>
    </w:p>
    <w:bookmarkEnd w:id="32"/>
    <w:bookmarkStart w:id="33" w:name="pre-portal-checklist"/>
    <w:p>
      <w:pPr>
        <w:pStyle w:val="Heading2"/>
      </w:pPr>
      <w:r>
        <w:t xml:space="preserve">Pre-portal checklist</w:t>
      </w:r>
    </w:p>
    <w:p>
      <w:pPr>
        <w:numPr>
          <w:ilvl w:val="0"/>
          <w:numId w:val="1003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Email verification</w:t>
      </w:r>
      <w:r>
        <w:t xml:space="preserve"> </w:t>
      </w:r>
      <w:r>
        <w:t xml:space="preserve">— completed 2026-05-01 via web search against</w:t>
      </w:r>
      <w:r>
        <w:t xml:space="preserve"> </w:t>
      </w:r>
      <w:r>
        <w:t xml:space="preserve">institutional directories and authoritative published sources:</w:t>
      </w:r>
    </w:p>
    <w:p>
      <w:pPr>
        <w:numPr>
          <w:ilvl w:val="1"/>
          <w:numId w:val="1004"/>
        </w:numPr>
        <w:pStyle w:val="Compact"/>
      </w:pPr>
      <w:r>
        <w:t xml:space="preserve">Copeland:</w:t>
      </w:r>
      <w:r>
        <w:t xml:space="preserve"> </w:t>
      </w:r>
      <w:r>
        <w:rPr>
          <w:rStyle w:val="VerbatimChar"/>
        </w:rPr>
        <w:t xml:space="preserve">kyle.copeland@faa.gov</w:t>
      </w:r>
      <w:r>
        <w:t xml:space="preserve"> </w:t>
      </w:r>
      <w:r>
        <w:t xml:space="preserve">✓ (FAA technical reports)</w:t>
      </w:r>
    </w:p>
    <w:p>
      <w:pPr>
        <w:numPr>
          <w:ilvl w:val="1"/>
          <w:numId w:val="1004"/>
        </w:numPr>
        <w:pStyle w:val="Compact"/>
      </w:pPr>
      <w:r>
        <w:t xml:space="preserve">Huberts:</w:t>
      </w:r>
      <w:r>
        <w:t xml:space="preserve"> </w:t>
      </w:r>
      <w:r>
        <w:rPr>
          <w:rStyle w:val="VerbatimChar"/>
        </w:rPr>
        <w:t xml:space="preserve">wouter.huberts@maastrichtuniversity.nl</w:t>
      </w:r>
      <w:r>
        <w:t xml:space="preserve"> </w:t>
      </w:r>
      <w:r>
        <w:t xml:space="preserve">✓ (Maastricht</w:t>
      </w:r>
      <w:r>
        <w:t xml:space="preserve"> </w:t>
      </w:r>
      <w:r>
        <w:t xml:space="preserve">Systems Biology / Bioinformatics staff page;</w:t>
      </w:r>
      <w:r>
        <w:t xml:space="preserve"> </w:t>
      </w:r>
      <w:r>
        <w:rPr>
          <w:bCs/>
          <w:b/>
        </w:rPr>
        <w:t xml:space="preserve">note: original draft</w:t>
      </w:r>
      <w:r>
        <w:rPr>
          <w:bCs/>
          <w:b/>
        </w:rPr>
        <w:t xml:space="preserve"> </w:t>
      </w:r>
      <w:r>
        <w:rPr>
          <w:bCs/>
          <w:b/>
        </w:rPr>
        <w:t xml:space="preserve">had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w.huberts@…</w:t>
      </w:r>
      <w:r>
        <w:rPr>
          <w:bCs/>
          <w:b/>
        </w:rPr>
        <w:t xml:space="preserve"> </w:t>
      </w:r>
      <w:r>
        <w:rPr>
          <w:bCs/>
          <w:b/>
        </w:rPr>
        <w:t xml:space="preserve">— corrected to the verified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wouter.huberts@…</w:t>
      </w:r>
      <w:r>
        <w:t xml:space="preserve">)</w:t>
      </w:r>
    </w:p>
    <w:p>
      <w:pPr>
        <w:numPr>
          <w:ilvl w:val="1"/>
          <w:numId w:val="1004"/>
        </w:numPr>
        <w:pStyle w:val="Compact"/>
      </w:pPr>
      <w:r>
        <w:t xml:space="preserve">Aliverti:</w:t>
      </w:r>
      <w:r>
        <w:t xml:space="preserve"> </w:t>
      </w:r>
      <w:r>
        <w:rPr>
          <w:rStyle w:val="VerbatimChar"/>
        </w:rPr>
        <w:t xml:space="preserve">andrea.aliverti@polimi.it</w:t>
      </w:r>
      <w:r>
        <w:t xml:space="preserve"> </w:t>
      </w:r>
      <w:r>
        <w:t xml:space="preserve">✓ (Politecnico standard format</w:t>
      </w:r>
      <w:r>
        <w:t xml:space="preserve"> </w:t>
      </w:r>
      <w:r>
        <w:rPr>
          <w:rStyle w:val="VerbatimChar"/>
        </w:rPr>
        <w:t xml:space="preserve">firstname.lastname@polimi.it</w:t>
      </w:r>
      <w:r>
        <w:t xml:space="preserve">; profile at DEIB)</w:t>
      </w:r>
    </w:p>
    <w:p>
      <w:pPr>
        <w:numPr>
          <w:ilvl w:val="1"/>
          <w:numId w:val="1004"/>
        </w:numPr>
        <w:pStyle w:val="Compact"/>
      </w:pPr>
      <w:r>
        <w:t xml:space="preserve">Angelopoulos: ⚠ now CEO of Arena;</w:t>
      </w:r>
      <w:r>
        <w:t xml:space="preserve"> </w:t>
      </w:r>
      <w:r>
        <w:rPr>
          <w:bCs/>
          <w:b/>
        </w:rPr>
        <w:t xml:space="preserve">use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angelopoulos.ai</w:t>
      </w:r>
      <w:r>
        <w:rPr>
          <w:bCs/>
          <w:b/>
        </w:rPr>
        <w:t xml:space="preserve"> </w:t>
      </w:r>
      <w:r>
        <w:rPr>
          <w:bCs/>
          <w:b/>
        </w:rPr>
        <w:t xml:space="preserve">contact</w:t>
      </w:r>
      <w:r>
        <w:rPr>
          <w:bCs/>
          <w:b/>
        </w:rPr>
        <w:t xml:space="preserve"> </w:t>
      </w:r>
      <w:r>
        <w:rPr>
          <w:bCs/>
          <w:b/>
        </w:rPr>
        <w:t xml:space="preserve">form</w:t>
      </w:r>
      <w:r>
        <w:t xml:space="preserve"> </w:t>
      </w:r>
      <w:r>
        <w:t xml:space="preserve">OR substitute Stephen Bates (</w:t>
      </w:r>
      <w:r>
        <w:rPr>
          <w:rStyle w:val="VerbatimChar"/>
        </w:rPr>
        <w:t xml:space="preserve">sbates@mit.edu</w:t>
      </w:r>
      <w:r>
        <w:t xml:space="preserve">) — see</w:t>
      </w:r>
      <w:r>
        <w:t xml:space="preserve"> </w:t>
      </w:r>
      <w:r>
        <w:t xml:space="preserve">candidate #4 box for details</w:t>
      </w:r>
    </w:p>
    <w:p>
      <w:pPr>
        <w:numPr>
          <w:ilvl w:val="1"/>
          <w:numId w:val="1004"/>
        </w:numPr>
        <w:pStyle w:val="Compact"/>
      </w:pPr>
      <w:r>
        <w:t xml:space="preserve">Boström:</w:t>
      </w:r>
      <w:r>
        <w:t xml:space="preserve"> </w:t>
      </w:r>
      <w:r>
        <w:rPr>
          <w:rStyle w:val="VerbatimChar"/>
        </w:rPr>
        <w:t xml:space="preserve">bostromh@kth.se</w:t>
      </w:r>
      <w:r>
        <w:t xml:space="preserve"> </w:t>
      </w:r>
      <w:r>
        <w:t xml:space="preserve">✓ (KTH profile + 2020/2021 PMLR papers)</w:t>
      </w:r>
    </w:p>
    <w:p>
      <w:pPr>
        <w:numPr>
          <w:ilvl w:val="0"/>
          <w:numId w:val="1003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Editorial-board cross-check</w:t>
      </w:r>
      <w:r>
        <w:t xml:space="preserve"> </w:t>
      </w:r>
      <w:r>
        <w:t xml:space="preserve">— completed 2026-05-01 against live</w:t>
      </w:r>
      <w:r>
        <w:t xml:space="preserve"> </w:t>
      </w:r>
      <w:r>
        <w:t xml:space="preserve">Wiley page; snapshot at</w:t>
      </w:r>
      <w:r>
        <w:t xml:space="preserve"> </w:t>
      </w:r>
      <w:r>
        <w:rPr>
          <w:rStyle w:val="VerbatimChar"/>
        </w:rPr>
        <w:t xml:space="preserve">2026-05-01_ijnmbe_editorial_board.md</w:t>
      </w:r>
      <w:r>
        <w:t xml:space="preserve">. All</w:t>
      </w:r>
      <w:r>
        <w:t xml:space="preserve"> </w:t>
      </w:r>
      <w:r>
        <w:t xml:space="preserve">five candidates clean (Alastruey was originally slotted but removed</w:t>
      </w:r>
      <w:r>
        <w:t xml:space="preserve"> </w:t>
      </w:r>
      <w:r>
        <w:t xml:space="preserve">when the check revealed his Associate Editor status).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[VERIFY]</w:t>
      </w:r>
      <w:r>
        <w:t xml:space="preserve"> </w:t>
      </w:r>
      <w:r>
        <w:t xml:space="preserve">no Scopus / OpenAlex co-authorship with Diego Malpica</w:t>
      </w:r>
      <w:r>
        <w:t xml:space="preserve"> </w:t>
      </w:r>
      <w:r>
        <w:t xml:space="preserve">in the past 3 years (single-author manuscript makes this trivially</w:t>
      </w:r>
      <w:r>
        <w:t xml:space="preserve"> </w:t>
      </w:r>
      <w:r>
        <w:t xml:space="preserve">clean for the present paper, but still worth a 30-second check</w:t>
      </w:r>
      <w:r>
        <w:t xml:space="preserve"> </w:t>
      </w:r>
      <w:r>
        <w:t xml:space="preserve">because of cross-conference proceedings).</w:t>
      </w:r>
    </w:p>
    <w:p>
      <w:pPr>
        <w:numPr>
          <w:ilvl w:val="0"/>
          <w:numId w:val="1003"/>
        </w:numPr>
        <w:pStyle w:val="Compact"/>
      </w:pPr>
      <w:r>
        <w:t xml:space="preserve">☐ Confirm each reviewer’s most recent active-paper date is within</w:t>
      </w:r>
      <w:r>
        <w:t xml:space="preserve"> </w:t>
      </w:r>
      <w:r>
        <w:t xml:space="preserve">the past 3 years.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Decide Angelopoulos vs. Bates</w:t>
      </w:r>
      <w:r>
        <w:t xml:space="preserve"> </w:t>
      </w:r>
      <w:r>
        <w:t xml:space="preserve">at portal-entry time based on</w:t>
      </w:r>
      <w:r>
        <w:t xml:space="preserve"> </w:t>
      </w:r>
      <w:r>
        <w:t xml:space="preserve">which institutional email Diego prefers to enter.</w:t>
      </w:r>
    </w:p>
    <w:bookmarkEnd w:id="33"/>
    <w:bookmarkEnd w:id="34"/>
    <w:sectPr w:rsidR="00FC693F" w:rsidRPr="0006063C" w:rsidSect="00034616">
      <w:headerReference r:id="rId9" w:type="default"/>
      <w:pgSz w:h="16838" w:w="11906"/>
      <w:pgMar w:bottom="1440" w:footer="720" w:gutter="0" w:header="720" w:left="1440" w:right="1440" w:top="1440"/>
      <w:cols w:space="720"/>
      <w:docGrid w:linePitch="360"/>
      <w:lnNumType w:countBy="1" w:distance="720" w:restart="newPage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fldChar w:fldCharType="begin"/>
      <w:instrText>PAGE</w:instrText>
      <w:fldChar w:fldCharType="end"/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0" w:before="0" w:line="480" w:lineRule="auto"/>
      <w:jc w:val="left"/>
    </w:pPr>
    <w:rPr>
      <w:rFonts w:ascii="Times New Roman" w:cs="Times New Roman" w:eastAsia="Times New Roman" w:hAnsi="Times New Roman"/>
      <w:b w:val="0"/>
      <w:color w:val="00000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40" w:line="480" w:lineRule="auto"/>
      <w:jc w:val="left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 w:line="480" w:lineRule="auto"/>
      <w:jc w:val="left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 w:line="480" w:lineRule="auto"/>
      <w:jc w:val="left"/>
      <w:outlineLvl w:val="2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0" w:before="0" w:line="480" w:lineRule="auto"/>
      <w:jc w:val="left"/>
    </w:pPr>
    <w:rPr>
      <w:rFonts w:ascii="Times New Roman" w:cs="Times New Roman" w:eastAsia="Times New Roman" w:hAnsi="Times New Roman"/>
      <w:b w:val="0"/>
      <w:color w:val="000000"/>
      <w:sz w:val="24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0" w:before="0" w:line="480" w:lineRule="auto"/>
      <w:jc w:val="left"/>
    </w:pPr>
    <w:rPr>
      <w:rFonts w:ascii="Times New Roman" w:cs="Times New Roman" w:eastAsia="Times New Roman" w:hAnsi="Times New Roman"/>
      <w:b w:val="0"/>
      <w:color w:val="000000"/>
      <w:sz w:val="24"/>
    </w:r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0" w:before="0" w:line="480" w:lineRule="auto"/>
      <w:jc w:val="left"/>
    </w:pPr>
    <w:rPr>
      <w:rFonts w:ascii="Times New Roman" w:cs="Times New Roman" w:eastAsia="Times New Roman" w:hAnsi="Times New Roman"/>
      <w:b w:val="0"/>
      <w:color w:val="000000"/>
      <w:sz w:val="24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20" w:before="120" w:line="240" w:lineRule="auto"/>
    </w:pPr>
    <w:rPr>
      <w:rFonts w:ascii="Times New Roman" w:cs="Times New Roman" w:eastAsia="Times New Roman" w:hAnsi="Times New Roman"/>
      <w:b w:val="0"/>
      <w:bCs/>
      <w:color w:val="000000"/>
      <w:sz w:val="22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  <w:sz w:val="22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Type="http://schemas.openxmlformats.org/officeDocument/2006/relationships/hyperlink" Id="rId20" Target="https://orcid.org/0000-0001-7893-6716" TargetMode="External" /><Relationship Type="http://schemas.openxmlformats.org/officeDocument/2006/relationships/hyperlink" Id="rId29" Target="https://orcid.org/0000-0001-8382-0300" TargetMode="External" /><Relationship Type="http://schemas.openxmlformats.org/officeDocument/2006/relationships/hyperlink" Id="rId24" Target="https://orcid.org/0000-0002-3892-3622" TargetMode="External" /><Relationship Type="http://schemas.openxmlformats.org/officeDocument/2006/relationships/hyperlink" Id="rId26" Target="https://orcid.org/0000-0002-5295-5556" TargetMode="External" /><Relationship Type="http://schemas.openxmlformats.org/officeDocument/2006/relationships/hyperlink" Id="rId22" Target="https://orcid.org/0000-0002-6463-610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orcid.org/0000-0001-7893-6716" TargetMode="External" /><Relationship Type="http://schemas.openxmlformats.org/officeDocument/2006/relationships/hyperlink" Id="rId29" Target="https://orcid.org/0000-0001-8382-0300" TargetMode="External" /><Relationship Type="http://schemas.openxmlformats.org/officeDocument/2006/relationships/hyperlink" Id="rId24" Target="https://orcid.org/0000-0002-3892-3622" TargetMode="External" /><Relationship Type="http://schemas.openxmlformats.org/officeDocument/2006/relationships/hyperlink" Id="rId26" Target="https://orcid.org/0000-0002-5295-5556" TargetMode="External" /><Relationship Type="http://schemas.openxmlformats.org/officeDocument/2006/relationships/hyperlink" Id="rId22" Target="https://orcid.org/0000-0002-6463-610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2026-05-12T22:54:43Z</dcterms:created>
  <dcterms:modified xsi:type="dcterms:W3CDTF">2026-05-12T22:54:43Z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