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92794db73c9594051d2170fa20b3c724a7acfa"/>
    <w:p>
      <w:pPr>
        <w:pStyle w:val="Heading1"/>
      </w:pPr>
      <w:r>
        <w:t xml:space="preserve">OSF Pre-Registration Amendment — 2026-05-06</w:t>
      </w:r>
    </w:p>
    <w:p>
      <w:pPr>
        <w:pStyle w:val="BlockText"/>
      </w:pPr>
      <w:r>
        <w:rPr>
          <w:bCs/>
          <w:b/>
        </w:rPr>
        <w:t xml:space="preserve">Amends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docs/publication/osf_preregistration.md</w:t>
      </w:r>
      <w:r>
        <w:t xml:space="preserve"> </w:t>
      </w:r>
      <w:r>
        <w:t xml:space="preserve">at git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1820edb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Status</w:t>
      </w:r>
      <w:r>
        <w:t xml:space="preserve">: DRAFT — to be appended to the OSF pre-registration record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test-set evaluation under the Scenario B originality</w:t>
      </w:r>
      <w:r>
        <w:t xml:space="preserve"> </w:t>
      </w:r>
      <w:r>
        <w:t xml:space="preserve">uplift (specifically before</w:t>
      </w:r>
      <w:r>
        <w:t xml:space="preserve"> </w:t>
      </w:r>
      <w:r>
        <w:rPr>
          <w:rStyle w:val="VerbatimChar"/>
        </w:rPr>
        <w:t xml:space="preserve">tests/test_cqr.py::test_cqr_fixes_time_to_gloc_under_coverage</w:t>
      </w:r>
      <w:r>
        <w:t xml:space="preserve"> </w:t>
      </w:r>
      <w:r>
        <w:t xml:space="preserve">is</w:t>
      </w:r>
      <w:r>
        <w:t xml:space="preserve"> </w:t>
      </w:r>
      <w:r>
        <w:t xml:space="preserve">first executed against</w:t>
      </w:r>
      <w:r>
        <w:t xml:space="preserve"> </w:t>
      </w:r>
      <w:r>
        <w:rPr>
          <w:rStyle w:val="VerbatimChar"/>
        </w:rPr>
        <w:t xml:space="preserve">data/datasets/cgem_synthetic_v1.parquet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OSF DOI of the amended record</w:t>
      </w:r>
      <w:r>
        <w:t xml:space="preserve">: TBD at posting.</w:t>
      </w:r>
    </w:p>
    <w:p>
      <w:pPr>
        <w:pStyle w:val="BlockText"/>
      </w:pPr>
      <w:r>
        <w:rPr>
          <w:bCs/>
          <w:b/>
        </w:rPr>
        <w:t xml:space="preserve">Authoring rationale.</w:t>
      </w:r>
      <w:r>
        <w:t xml:space="preserve"> </w:t>
      </w:r>
      <w:r>
        <w:t xml:space="preserve">The original pre-registration locked</w:t>
      </w:r>
      <w:r>
        <w:t xml:space="preserve"> </w:t>
      </w:r>
      <w:r>
        <w:t xml:space="preserve">hypotheses H1–H4 against a homoscedastic Mondrian conformal layer</w:t>
      </w:r>
      <w:r>
        <w:t xml:space="preserve"> </w:t>
      </w:r>
      <w:r>
        <w:t xml:space="preserve">+ maneuver-category Mahalanobis OOD. The 2026-05-06 originality</w:t>
      </w:r>
      <w:r>
        <w:t xml:space="preserve"> </w:t>
      </w:r>
      <w:r>
        <w:t xml:space="preserve">plan (Scenario B in</w:t>
      </w:r>
      <w:r>
        <w:t xml:space="preserve"> </w:t>
      </w:r>
      <w:r>
        <w:rPr>
          <w:rStyle w:val="VerbatimChar"/>
        </w:rPr>
        <w:t xml:space="preserve">/root/.claude/plans/moonlit-stargazing-wolf.md</w:t>
      </w:r>
      <w:r>
        <w:t xml:space="preserve">) introduces two</w:t>
      </w:r>
      <w:r>
        <w:t xml:space="preserve"> </w:t>
      </w:r>
      <w:r>
        <w:t xml:space="preserve">new methodological elements — Conformalized Quantile Regression</w:t>
      </w:r>
      <w:r>
        <w:t xml:space="preserve"> </w:t>
      </w:r>
      <w:r>
        <w:t xml:space="preserve">(CQR) and an archival-centrifuge external-validation cohort —</w:t>
      </w:r>
      <w:r>
        <w:t xml:space="preserve"> </w:t>
      </w:r>
      <w:r>
        <w:t xml:space="preserve">that were not part of the pre-registered protocol. To preserve</w:t>
      </w:r>
      <w:r>
        <w:t xml:space="preserve"> </w:t>
      </w:r>
      <w:r>
        <w:t xml:space="preserve">pre-registration discipline, this amendment locks the</w:t>
      </w:r>
      <w:r>
        <w:t xml:space="preserve"> </w:t>
      </w:r>
      <w:r>
        <w:t xml:space="preserve">corresponding hypotheses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test-set evaluation of</w:t>
      </w:r>
      <w:r>
        <w:t xml:space="preserve"> </w:t>
      </w:r>
      <w:r>
        <w:t xml:space="preserve">the new layers.</w:t>
      </w:r>
    </w:p>
    <w:p>
      <w:r>
        <w:pict>
          <v:rect style="width:0;height:1.5pt" o:hralign="center" o:hrstd="t" o:hr="t"/>
        </w:pict>
      </w:r>
    </w:p>
    <w:bookmarkStart w:id="20" w:name="a.-scope-of-the-amendment"/>
    <w:p>
      <w:pPr>
        <w:pStyle w:val="Heading2"/>
      </w:pPr>
      <w:r>
        <w:t xml:space="preserve">A. Scope of the amendment</w:t>
      </w:r>
    </w:p>
    <w:p>
      <w:pPr>
        <w:pStyle w:val="FirstParagraph"/>
      </w:pPr>
      <w:r>
        <w:t xml:space="preserve">The amendment</w:t>
      </w:r>
      <w:r>
        <w:t xml:space="preserve"> </w:t>
      </w:r>
      <w:r>
        <w:rPr>
          <w:bCs/>
          <w:b/>
        </w:rPr>
        <w:t xml:space="preserve">adds</w:t>
      </w:r>
      <w:r>
        <w:t xml:space="preserve"> </w:t>
      </w:r>
      <w:r>
        <w:t xml:space="preserve">two hypotheses (H5, H6) and</w:t>
      </w:r>
      <w:r>
        <w:t xml:space="preserve"> </w:t>
      </w:r>
      <w:r>
        <w:rPr>
          <w:bCs/>
          <w:b/>
        </w:rPr>
        <w:t xml:space="preserve">adds</w:t>
      </w:r>
      <w:r>
        <w:t xml:space="preserve"> </w:t>
      </w:r>
      <w:r>
        <w:t xml:space="preserve">the</w:t>
      </w:r>
      <w:r>
        <w:t xml:space="preserve"> </w:t>
      </w:r>
      <w:r>
        <w:t xml:space="preserve">artifacts required to evaluate them.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modify or</w:t>
      </w:r>
      <w:r>
        <w:t xml:space="preserve"> </w:t>
      </w:r>
      <w:r>
        <w:t xml:space="preserve">relax any existing hypothesis (H1–H4), which remain locked at the</w:t>
      </w:r>
      <w:r>
        <w:t xml:space="preserve"> </w:t>
      </w:r>
      <w:r>
        <w:t xml:space="preserve">values committed in the original pre-registration.</w:t>
      </w:r>
    </w:p>
    <w:p>
      <w:r>
        <w:pict>
          <v:rect style="width:0;height:1.5pt" o:hralign="center" o:hrstd="t" o:hr="t"/>
        </w:pict>
      </w:r>
    </w:p>
    <w:bookmarkEnd w:id="20"/>
    <w:bookmarkStart w:id="23" w:name="b.-new-hypotheses"/>
    <w:p>
      <w:pPr>
        <w:pStyle w:val="Heading2"/>
      </w:pPr>
      <w:r>
        <w:t xml:space="preserve">B. New hypotheses</w:t>
      </w:r>
    </w:p>
    <w:bookmarkStart w:id="21" w:name="X879aebaf9131d8d9a5f6a1ea08a257f3b6a6dc6"/>
    <w:p>
      <w:pPr>
        <w:pStyle w:val="Heading3"/>
      </w:pPr>
      <w:r>
        <w:t xml:space="preserve">H5 — CQR fixes the time-to-G-LOC under-coverage</w:t>
      </w:r>
    </w:p>
    <w:p>
      <w:pPr>
        <w:pStyle w:val="FirstParagraph"/>
      </w:pPr>
      <w:r>
        <w:rPr>
          <w:bCs/>
          <w:b/>
        </w:rPr>
        <w:t xml:space="preserve">Statement.</w:t>
      </w:r>
      <w:r>
        <w:t xml:space="preserve"> </w:t>
      </w:r>
      <w:r>
        <w:t xml:space="preserve">With Conformalized Quantile Regression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cgem_ext.surrogate.cqr.TwoStageXGBQuantileSurrogate</w:t>
      </w:r>
      <w:r>
        <w:t xml:space="preserve">) replacing</w:t>
      </w:r>
      <w:r>
        <w:t xml:space="preserve"> </w:t>
      </w:r>
      <w:r>
        <w:t xml:space="preserve">the homoscedastic Mondrian conformal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cgem_ext.surrogate.conformal.MondrianSplitConformal</w:t>
      </w:r>
      <w:r>
        <w:t xml:space="preserve">) on the</w:t>
      </w:r>
      <w:r>
        <w:t xml:space="preserve"> </w:t>
      </w:r>
      <w:r>
        <w:t xml:space="preserve">right-censored target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, the empirical coverage on</w:t>
      </w:r>
      <w:r>
        <w:t xml:space="preserve"> </w:t>
      </w:r>
      <w:r>
        <w:t xml:space="preserve">event-positive rows of the OSF-pre-registered held-out test split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≥ 0.90</w:t>
      </w:r>
      <w:r>
        <w:t xml:space="preserve"> </w:t>
      </w:r>
      <w:r>
        <w:t xml:space="preserve">(within 5 pp of the nominal 0.95).</w:t>
      </w:r>
    </w:p>
    <w:p>
      <w:pPr>
        <w:pStyle w:val="BodyText"/>
      </w:pPr>
      <w:r>
        <w:rPr>
          <w:bCs/>
          <w:b/>
        </w:rPr>
        <w:t xml:space="preserve">Anchor.</w:t>
      </w:r>
      <w:r>
        <w:t xml:space="preserve"> </w:t>
      </w:r>
      <w:r>
        <w:t xml:space="preserve">The homoscedastic Mondrian baseline reported coverage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0.861</w:t>
      </w:r>
      <w:r>
        <w:t xml:space="preserve"> </w:t>
      </w:r>
      <w:r>
        <w:t xml:space="preserve">on the same test slice (</w:t>
      </w:r>
      <w:r>
        <w:rPr>
          <w:rStyle w:val="VerbatimChar"/>
        </w:rPr>
        <w:t xml:space="preserve">docs/publication/manuscript.md</w:t>
      </w:r>
      <w:r>
        <w:t xml:space="preserve"> </w:t>
      </w:r>
      <w:r>
        <w:t xml:space="preserve">§3.3, Table 2, commit 1f1a816). H5 requires the CQR layer to be</w:t>
      </w:r>
      <w:r>
        <w:t xml:space="preserve"> </w:t>
      </w:r>
      <w:r>
        <w:t xml:space="preserve">strictly closer to the nominal 0.95 than this baseline — encoded as</w:t>
      </w:r>
      <w:r>
        <w:t xml:space="preserve"> </w:t>
      </w:r>
      <w:r>
        <w:t xml:space="preserve">the second assertion in</w:t>
      </w:r>
      <w:r>
        <w:t xml:space="preserve"> </w:t>
      </w:r>
      <w:r>
        <w:rPr>
          <w:rStyle w:val="VerbatimChar"/>
        </w:rPr>
        <w:t xml:space="preserve">tests/test_cqr.py::test_cqr_fixes_time_to_gloc_under_coverage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Statistical-uncertainty reporting.</w:t>
      </w:r>
      <w:r>
        <w:t xml:space="preserve"> </w:t>
      </w:r>
      <w:r>
        <w:t xml:space="preserve">Coverage is reported with a</w:t>
      </w:r>
      <w:r>
        <w:t xml:space="preserve"> </w:t>
      </w:r>
      <w:r>
        <w:t xml:space="preserve">95 % bootstrap CI (1,000 paired resamples of the test split using</w:t>
      </w:r>
      <w:r>
        <w:t xml:space="preserve"> </w:t>
      </w:r>
      <w:r>
        <w:rPr>
          <w:rStyle w:val="VerbatimChar"/>
        </w:rPr>
        <w:t xml:space="preserve">numpy.random.default_rng(42)</w:t>
      </w:r>
      <w:r>
        <w:t xml:space="preserve">), consistent with §3.2 of the</w:t>
      </w:r>
      <w:r>
        <w:t xml:space="preserve"> </w:t>
      </w:r>
      <w:r>
        <w:t xml:space="preserve">manuscript.</w:t>
      </w:r>
    </w:p>
    <w:p>
      <w:pPr>
        <w:pStyle w:val="BodyText"/>
      </w:pPr>
      <w:r>
        <w:rPr>
          <w:bCs/>
          <w:b/>
        </w:rPr>
        <w:t xml:space="preserve">Failure handling.</w:t>
      </w:r>
      <w:r>
        <w:t xml:space="preserve"> </w:t>
      </w:r>
      <w:r>
        <w:t xml:space="preserve">Failure of H5 is reported transparently in</w:t>
      </w:r>
      <w:r>
        <w:t xml:space="preserve"> </w:t>
      </w:r>
      <w:r>
        <w:t xml:space="preserve">the manuscript Section 3.3, not silently masked. Failure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invalidate the paper; it triggers a documented decision</w:t>
      </w:r>
      <w:r>
        <w:t xml:space="preserve"> </w:t>
      </w:r>
      <w:r>
        <w:t xml:space="preserve">between (i) reverting to the homoscedastic Mondrian layer and</w:t>
      </w:r>
      <w:r>
        <w:t xml:space="preserve"> </w:t>
      </w:r>
      <w:r>
        <w:t xml:space="preserve">keeping the under-coverage as a declared limitation, or (ii)</w:t>
      </w:r>
      <w:r>
        <w:t xml:space="preserve"> </w:t>
      </w:r>
      <w:r>
        <w:t xml:space="preserve">exploring distributional conformal prediction (Chernozhukov et al.</w:t>
      </w:r>
      <w:r>
        <w:t xml:space="preserve"> </w:t>
      </w:r>
      <w:r>
        <w:t xml:space="preserve">2021; Gibbs &amp; Candès 2024) as a follow-up.</w:t>
      </w:r>
    </w:p>
    <w:bookmarkEnd w:id="21"/>
    <w:bookmarkStart w:id="22" w:name="X9276810c1fe9bbf782af86a7a48510c61099afe"/>
    <w:p>
      <w:pPr>
        <w:pStyle w:val="Heading3"/>
      </w:pPr>
      <w:r>
        <w:t xml:space="preserve">H6 — Archival-validated discrepancy is bounded</w:t>
      </w:r>
    </w:p>
    <w:p>
      <w:pPr>
        <w:pStyle w:val="FirstParagraph"/>
      </w:pPr>
      <w:r>
        <w:rPr>
          <w:bCs/>
          <w:b/>
        </w:rPr>
        <w:t xml:space="preserve">Statement.</w:t>
      </w:r>
      <w:r>
        <w:t xml:space="preserve"> </w:t>
      </w:r>
      <w:r>
        <w:t xml:space="preserve">On a cohort of historical centrifuge event-time</w:t>
      </w:r>
      <w:r>
        <w:t xml:space="preserve"> </w:t>
      </w:r>
      <w:r>
        <w:t xml:space="preserve">records assembled from public 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data/archival/centrifuge_tables.parquet</w:t>
      </w:r>
      <w:r>
        <w:t xml:space="preserve">, generated via</w:t>
      </w:r>
      <w:r>
        <w:t xml:space="preserve"> </w:t>
      </w:r>
      <w:r>
        <w:rPr>
          <w:rStyle w:val="VerbatimChar"/>
        </w:rPr>
        <w:t xml:space="preserve">scripts/extract_archival_tables.py</w:t>
      </w:r>
      <w:r>
        <w:t xml:space="preserve"> </w:t>
      </w:r>
      <w:r>
        <w:t xml:space="preserve">and described in</w:t>
      </w:r>
      <w:r>
        <w:t xml:space="preserve"> </w:t>
      </w:r>
      <w:r>
        <w:rPr>
          <w:rStyle w:val="VerbatimChar"/>
        </w:rPr>
        <w:t xml:space="preserve">docs/data/datasheet_archival.md</w:t>
      </w:r>
      <w:r>
        <w:t xml:space="preserve">), the surrogate’s calibrated</w:t>
      </w:r>
      <w:r>
        <w:t xml:space="preserve"> </w:t>
      </w:r>
      <w:r>
        <w:t xml:space="preserve">prediction interval covers</w:t>
      </w:r>
      <w:r>
        <w:t xml:space="preserve"> </w:t>
      </w:r>
      <w:r>
        <w:rPr>
          <w:bCs/>
          <w:b/>
        </w:rPr>
        <w:t xml:space="preserve">≥ 90 %</w:t>
      </w:r>
      <w:r>
        <w:t xml:space="preserve"> </w:t>
      </w:r>
      <w:r>
        <w:t xml:space="preserve">of the real event times.</w:t>
      </w:r>
      <w:r>
        <w:t xml:space="preserve"> </w:t>
      </w:r>
      <w:r>
        <w:t xml:space="preserve">The systematic discrepancy</w:t>
      </w:r>
      <w:r>
        <w:t xml:space="preserve"> </w:t>
      </w:r>
      <w:r>
        <w:t xml:space="preserve">δ̄ = mean(real − CGEM-via-surrogate-median)</w:t>
      </w:r>
      <w:r>
        <w:t xml:space="preserve"> </w:t>
      </w:r>
      <w:r>
        <w:t xml:space="preserve">is reported with a 95 % bootstrap CI,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a pre-registered</w:t>
      </w:r>
      <w:r>
        <w:t xml:space="preserve"> </w:t>
      </w:r>
      <w:r>
        <w:t xml:space="preserve">sign or magnitude threshold (the literature anchor for δ on</w:t>
      </w:r>
      <w:r>
        <w:t xml:space="preserve"> </w:t>
      </w:r>
      <w:r>
        <w:t xml:space="preserve">G-tolerance models is sparse — see manuscript §4.4).</w:t>
      </w:r>
    </w:p>
    <w:p>
      <w:pPr>
        <w:pStyle w:val="BodyText"/>
      </w:pPr>
      <w:r>
        <w:rPr>
          <w:bCs/>
          <w:b/>
        </w:rPr>
        <w:t xml:space="preserve">Cohort sources, in priority order</w:t>
      </w:r>
      <w:r>
        <w:t xml:space="preserve"> </w:t>
      </w:r>
      <w:r>
        <w:t xml:space="preserve">(revised 2026-05-06 after a</w:t>
      </w:r>
      <w:r>
        <w:t xml:space="preserve"> </w:t>
      </w:r>
      <w:r>
        <w:t xml:space="preserve">PubMed / Crossref reference-verification scout — see §F below):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Whinnery JE &amp; Forster EM (2013)</w:t>
      </w:r>
      <w:r>
        <w:t xml:space="preserve">,</w:t>
      </w:r>
      <w:r>
        <w:t xml:space="preserve"> </w:t>
      </w:r>
      <w:r>
        <w:rPr>
          <w:iCs/>
          <w:i/>
        </w:rPr>
        <w:t xml:space="preserve">Extreme Physiology &amp;</w:t>
      </w:r>
      <w:r>
        <w:rPr>
          <w:iCs/>
          <w:i/>
        </w:rPr>
        <w:t xml:space="preserve"> </w:t>
      </w:r>
      <w:r>
        <w:rPr>
          <w:iCs/>
          <w:i/>
        </w:rPr>
        <w:t xml:space="preserve">Medicine</w:t>
      </w:r>
      <w:r>
        <w:t xml:space="preserve"> </w:t>
      </w:r>
      <w:r>
        <w:t xml:space="preserve">2:19 (open-access, BioMed Central; doi</w:t>
      </w:r>
      <w:r>
        <w:t xml:space="preserve"> </w:t>
      </w:r>
      <w:r>
        <w:t xml:space="preserve">10.1186/2046-7648-2-19) — onset-rate × time-to-loss-of-</w:t>
      </w:r>
      <w:r>
        <w:t xml:space="preserve"> </w:t>
      </w:r>
      <w:r>
        <w:t xml:space="preserve">consciousness records, n = 729 centrifuge subjects.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Whinnery JE, Forster EM &amp; Rogers PB (2014)</w:t>
      </w:r>
      <w:r>
        <w:t xml:space="preserve">,</w:t>
      </w:r>
      <w:r>
        <w:t xml:space="preserve"> </w:t>
      </w:r>
      <w:r>
        <w:rPr>
          <w:iCs/>
          <w:i/>
        </w:rPr>
        <w:t xml:space="preserve">Extreme</w:t>
      </w:r>
      <w:r>
        <w:rPr>
          <w:iCs/>
          <w:i/>
        </w:rPr>
        <w:t xml:space="preserve"> </w:t>
      </w:r>
      <w:r>
        <w:rPr>
          <w:iCs/>
          <w:i/>
        </w:rPr>
        <w:t xml:space="preserve">Physiology &amp; Medicine</w:t>
      </w:r>
      <w:r>
        <w:t xml:space="preserve"> </w:t>
      </w:r>
      <w:r>
        <w:t xml:space="preserve">3:9 (open-access; doi</w:t>
      </w:r>
      <w:r>
        <w:t xml:space="preserve"> </w:t>
      </w:r>
      <w:r>
        <w:t xml:space="preserve">10.1186/2046-7648-3-9) — offset-rate × duration-of-absolute-</w:t>
      </w:r>
      <w:r>
        <w:t xml:space="preserve"> </w:t>
      </w:r>
      <w:r>
        <w:t xml:space="preserve">incapacitation records, n = 715 centrifuge subjects.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Copeland K &amp; Whinnery JE (2023)</w:t>
      </w:r>
      <w:r>
        <w:t xml:space="preserve">, DOT/FAA/AM-23/6 (open-</w:t>
      </w:r>
      <w:r>
        <w:t xml:space="preserve"> </w:t>
      </w:r>
      <w:r>
        <w:t xml:space="preserve">access; doi 10.21949/1524446) — pooled CGEM-vs-centrifuge</w:t>
      </w:r>
      <w:r>
        <w:t xml:space="preserve"> </w:t>
      </w:r>
      <w:r>
        <w:t xml:space="preserve">summary tables in §3, ≈ 40 aggregated rows that summarise the</w:t>
      </w:r>
      <w:r>
        <w:t xml:space="preserve"> </w:t>
      </w:r>
      <w:r>
        <w:t xml:space="preserve">two primary sources above plus ≈ 22 Burton-summarised</w:t>
      </w:r>
      <w:r>
        <w:t xml:space="preserve"> </w:t>
      </w:r>
      <w:r>
        <w:t xml:space="preserve">countermeasure cells.</w:t>
      </w:r>
    </w:p>
    <w:p>
      <w:pPr>
        <w:pStyle w:val="FirstParagraph"/>
      </w:pPr>
      <w:r>
        <w:t xml:space="preserve">The two</w:t>
      </w:r>
      <w:r>
        <w:t xml:space="preserve"> </w:t>
      </w:r>
      <w:r>
        <w:rPr>
          <w:iCs/>
          <w:i/>
        </w:rPr>
        <w:t xml:space="preserve">Extreme Physiology &amp; Medicine</w:t>
      </w:r>
      <w:r>
        <w:t xml:space="preserve"> </w:t>
      </w:r>
      <w:r>
        <w:t xml:space="preserve">primary sources were</w:t>
      </w:r>
      <w:r>
        <w:t xml:space="preserve"> </w:t>
      </w:r>
      <w:r>
        <w:t xml:space="preserve">identified by a 2026-05-06 reference-verification scout that also</w:t>
      </w:r>
      <w:r>
        <w:t xml:space="preserve"> </w:t>
      </w:r>
      <w:r>
        <w:t xml:space="preserve">found that the previously planned anchors — Burns &amp; Kruger 1997</w:t>
      </w:r>
      <w:r>
        <w:t xml:space="preserve"> </w:t>
      </w:r>
      <w:r>
        <w:t xml:space="preserve">(PMID 9143752 does not match the cited title; reference unrecoverable</w:t>
      </w:r>
      <w:r>
        <w:t xml:space="preserve"> </w:t>
      </w:r>
      <w:r>
        <w:t xml:space="preserve">from PubMed / Crossref / scite) and Whinnery 1990 (the cited PMID</w:t>
      </w:r>
      <w:r>
        <w:t xml:space="preserve"> </w:t>
      </w:r>
      <w:r>
        <w:t xml:space="preserve">2350248 maps to an unrelated paper; the closest extant Whinnery</w:t>
      </w:r>
      <w:r>
        <w:t xml:space="preserve"> </w:t>
      </w:r>
      <w:r>
        <w:t xml:space="preserve">1990 paper is</w:t>
      </w:r>
      <w:r>
        <w:t xml:space="preserve"> </w:t>
      </w:r>
      <w:r>
        <w:rPr>
          <w:iCs/>
          <w:i/>
        </w:rPr>
        <w:t xml:space="preserve">ASEM</w:t>
      </w:r>
      <w:r>
        <w:t xml:space="preserve"> </w:t>
      </w:r>
      <w:r>
        <w:t xml:space="preserve">61(5):406–411, PMID 2350309) — are not usable</w:t>
      </w:r>
      <w:r>
        <w:t xml:space="preserve"> </w:t>
      </w:r>
      <w:r>
        <w:t xml:space="preserve">as cohort sources. Both are dropped from H6’s source list and from</w:t>
      </w:r>
      <w:r>
        <w:t xml:space="preserve"> </w:t>
      </w:r>
      <w:r>
        <w:t xml:space="preserve">the manuscript reference list (see §F).</w:t>
      </w:r>
    </w:p>
    <w:p>
      <w:pPr>
        <w:pStyle w:val="BodyText"/>
      </w:pPr>
      <w:r>
        <w:rPr>
          <w:bCs/>
          <w:b/>
        </w:rPr>
        <w:t xml:space="preserve">Cohort size, after transcription audit:</w:t>
      </w:r>
      <w:r>
        <w:t xml:space="preserve"> </w:t>
      </w:r>
      <w:r>
        <w:t xml:space="preserve">target n ≥ 50</w:t>
      </w:r>
      <w:r>
        <w:t xml:space="preserve"> </w:t>
      </w:r>
      <w:r>
        <w:t xml:space="preserve">event-time records across at least two of the three sources.</w:t>
      </w:r>
      <w:r>
        <w:t xml:space="preserve"> </w:t>
      </w:r>
      <w:r>
        <w:t xml:space="preserve">If transcription yields fewer than 50 records, a sensitivity</w:t>
      </w:r>
      <w:r>
        <w:t xml:space="preserve"> </w:t>
      </w:r>
      <w:r>
        <w:t xml:space="preserve">analysis with n = 30 is reported in supplementary; if fewer than</w:t>
      </w:r>
      <w:r>
        <w:t xml:space="preserve"> </w:t>
      </w:r>
      <w:r>
        <w:t xml:space="preserve">30, the archival arm is reframed as exploratory in §3.7 of the</w:t>
      </w:r>
      <w:r>
        <w:t xml:space="preserve"> </w:t>
      </w:r>
      <w:r>
        <w:t xml:space="preserve">manuscript and H6 is downgraded to an exploratory hypothesis.</w:t>
      </w:r>
    </w:p>
    <w:p>
      <w:pPr>
        <w:pStyle w:val="BodyText"/>
      </w:pPr>
      <w:r>
        <w:rPr>
          <w:bCs/>
          <w:b/>
        </w:rPr>
        <w:t xml:space="preserve">Mapping rules from publication tables to CGEM input space</w:t>
      </w:r>
      <w:r>
        <w:t xml:space="preserve"> </w:t>
      </w:r>
      <w:r>
        <w:t xml:space="preserve">(locked here, not at run time):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g_peak_abs</w:t>
      </w:r>
      <w:r>
        <w:t xml:space="preserve">: read directly from the publication’s reported peak</w:t>
      </w:r>
      <w:r>
        <w:t xml:space="preserve"> </w:t>
      </w:r>
      <w:r>
        <w:t xml:space="preserve">G value.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profile_duration_s</w:t>
      </w:r>
      <w:r>
        <w:t xml:space="preserve">: read directly when a duration is reported;</w:t>
      </w:r>
      <w:r>
        <w:t xml:space="preserve"> </w:t>
      </w:r>
      <w:r>
        <w:t xml:space="preserve">if only an onset rate and plateau time are given, derive</w:t>
      </w:r>
      <w:r>
        <w:t xml:space="preserve"> </w:t>
      </w:r>
      <w:r>
        <w:t xml:space="preserve">duration via</w:t>
      </w:r>
      <w:r>
        <w:t xml:space="preserve"> </w:t>
      </w:r>
      <w:r>
        <w:rPr>
          <w:rStyle w:val="VerbatimChar"/>
        </w:rPr>
        <w:t xml:space="preserve">profile_duration_s = onset_time + plateau_time</w:t>
      </w:r>
      <w:r>
        <w:t xml:space="preserve"> </w:t>
      </w:r>
      <w:r>
        <w:t xml:space="preserve">with onset_time computed from the reported</w:t>
      </w:r>
      <w:r>
        <w:t xml:space="preserve"> </w:t>
      </w:r>
      <w:r>
        <w:rPr>
          <w:rStyle w:val="VerbatimChar"/>
        </w:rPr>
        <w:t xml:space="preserve">dG/dt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dgdt_max_g_per_s</w:t>
      </w:r>
      <w:r>
        <w:t xml:space="preserve">: read directly when reported; default to the</w:t>
      </w:r>
      <w:r>
        <w:t xml:space="preserve"> </w:t>
      </w:r>
      <w:r>
        <w:t xml:space="preserve">publication’s reported</w:t>
      </w:r>
      <w:r>
        <w:t xml:space="preserve"> </w:t>
      </w:r>
      <w:r>
        <w:t xml:space="preserve">“</w:t>
      </w:r>
      <w:r>
        <w:t xml:space="preserve">rapid onset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gradual onset</w:t>
      </w:r>
      <w:r>
        <w:t xml:space="preserve">”</w:t>
      </w:r>
      <w:r>
        <w:t xml:space="preserve"> </w:t>
      </w:r>
      <w:r>
        <w:t xml:space="preserve">classification mapped to {3, 1} G/s when not specified, with</w:t>
      </w:r>
      <w:r>
        <w:t xml:space="preserve"> </w:t>
      </w:r>
      <w:r>
        <w:t xml:space="preserve">this default flagged in the per-record provenance.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who_profile</w:t>
      </w:r>
      <w:r>
        <w:t xml:space="preserve">: default to the publication’s reported subject</w:t>
      </w:r>
      <w:r>
        <w:t xml:space="preserve"> </w:t>
      </w:r>
      <w:r>
        <w:t xml:space="preserve">cohort (military pilots →</w:t>
      </w:r>
      <w:r>
        <w:t xml:space="preserve"> </w:t>
      </w:r>
      <w:r>
        <w:rPr>
          <w:rStyle w:val="VerbatimChar"/>
        </w:rPr>
        <w:t xml:space="preserve">who_profile=4</w:t>
      </w:r>
      <w:r>
        <w:t xml:space="preserve">; civilian aerobatic</w:t>
      </w:r>
      <w:r>
        <w:t xml:space="preserve"> </w:t>
      </w:r>
      <w:r>
        <w:t xml:space="preserve">pilots →</w:t>
      </w:r>
      <w:r>
        <w:t xml:space="preserve"> </w:t>
      </w:r>
      <w:r>
        <w:rPr>
          <w:rStyle w:val="VerbatimChar"/>
        </w:rPr>
        <w:t xml:space="preserve">who_profile=2</w:t>
      </w:r>
      <w:r>
        <w:t xml:space="preserve">; mixed civilian →</w:t>
      </w:r>
      <w:r>
        <w:t xml:space="preserve"> </w:t>
      </w:r>
      <w:r>
        <w:rPr>
          <w:rStyle w:val="VerbatimChar"/>
        </w:rPr>
        <w:t xml:space="preserve">who_profile=1</w:t>
      </w:r>
      <w:r>
        <w:t xml:space="preserve">),</w:t>
      </w:r>
      <w:r>
        <w:t xml:space="preserve"> </w:t>
      </w:r>
      <w:r>
        <w:t xml:space="preserve">with the choice flagged in the per-record provenance and a</w:t>
      </w:r>
      <w:r>
        <w:t xml:space="preserve"> </w:t>
      </w:r>
      <w:r>
        <w:t xml:space="preserve">sensitivity analysis over</w:t>
      </w:r>
      <w:r>
        <w:t xml:space="preserve"> </w:t>
      </w:r>
      <w:r>
        <w:rPr>
          <w:rStyle w:val="VerbatimChar"/>
        </w:rPr>
        <w:t xml:space="preserve">who_profile ∈ {1, 4}</w:t>
      </w:r>
      <w:r>
        <w:t xml:space="preserve"> </w:t>
      </w:r>
      <w:r>
        <w:t xml:space="preserve">reported in</w:t>
      </w:r>
      <w:r>
        <w:t xml:space="preserve"> </w:t>
      </w:r>
      <w:r>
        <w:t xml:space="preserve">supplementary.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agsm_effectiveness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gsuit_max_psi</w:t>
      </w:r>
      <w:r>
        <w:t xml:space="preserve">,</w:t>
      </w:r>
      <w:r>
        <w:t xml:space="preserve"> </w:t>
      </w:r>
      <w:r>
        <w:rPr>
          <w:rStyle w:val="VerbatimChar"/>
        </w:rPr>
        <w:t xml:space="preserve">pbg_max_mmhg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gsuit_coverage_fraction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dehydration_level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g_tolerance_multiplier</w:t>
      </w:r>
      <w:r>
        <w:t xml:space="preserve">: when not reported, default to the</w:t>
      </w:r>
      <w:r>
        <w:t xml:space="preserve"> </w:t>
      </w:r>
      <w:r>
        <w:t xml:space="preserve">publication’s stated countermeasure tier (none → baseline tier;</w:t>
      </w:r>
      <w:r>
        <w:t xml:space="preserve"> </w:t>
      </w:r>
      <w:r>
        <w:t xml:space="preserve">AGSM → AGSM 0.5 / G-suit 0 / PBG 0; full countermeasures → AGSM</w:t>
      </w:r>
      <w:r>
        <w:t xml:space="preserve"> </w:t>
      </w:r>
      <w:r>
        <w:t xml:space="preserve">1.0 / G-suit 5 psi / PBG 30 mmHg). The full mapping table is</w:t>
      </w:r>
      <w:r>
        <w:t xml:space="preserve"> </w:t>
      </w:r>
      <w:r>
        <w:t xml:space="preserve">versioned at</w:t>
      </w:r>
      <w:r>
        <w:t xml:space="preserve"> </w:t>
      </w:r>
      <w:r>
        <w:rPr>
          <w:rStyle w:val="VerbatimChar"/>
        </w:rPr>
        <w:t xml:space="preserve">data/archival/PROVENANCE.md</w:t>
      </w:r>
      <w:r>
        <w:t xml:space="preserve"> </w:t>
      </w:r>
      <w:r>
        <w:t xml:space="preserve">and timestamped at</w:t>
      </w:r>
      <w:r>
        <w:t xml:space="preserve"> </w:t>
      </w:r>
      <w:r>
        <w:t xml:space="preserve">cohort-build time.</w:t>
      </w:r>
    </w:p>
    <w:p>
      <w:pPr>
        <w:pStyle w:val="FirstParagraph"/>
      </w:pPr>
      <w:r>
        <w:rPr>
          <w:bCs/>
          <w:b/>
        </w:rPr>
        <w:t xml:space="preserve">Failure handling.</w:t>
      </w:r>
      <w:r>
        <w:t xml:space="preserve"> </w:t>
      </w:r>
      <w:r>
        <w:t xml:space="preserve">If H6 fails because of unavailable source</w:t>
      </w:r>
      <w:r>
        <w:t xml:space="preserve"> </w:t>
      </w:r>
      <w:r>
        <w:t xml:space="preserve">data (e.g., a Wiley pay-walled article cannot be obtained), the</w:t>
      </w:r>
      <w:r>
        <w:t xml:space="preserve"> </w:t>
      </w:r>
      <w:r>
        <w:t xml:space="preserve">archival arm is reported transparently with an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footnote, and</w:t>
      </w:r>
      <w:r>
        <w:t xml:space="preserve"> </w:t>
      </w:r>
      <w:r>
        <w:t xml:space="preserve">the manuscript’s discussion explicitly states which sources were</w:t>
      </w:r>
      <w:r>
        <w:t xml:space="preserve"> </w:t>
      </w:r>
      <w:r>
        <w:t xml:space="preserve">tractable and which were not. If H6 fails because the surrogate</w:t>
      </w:r>
      <w:r>
        <w:t xml:space="preserve"> </w:t>
      </w:r>
      <w:r>
        <w:t xml:space="preserve">under-covers real outcomes, that is a</w:t>
      </w:r>
      <w:r>
        <w:t xml:space="preserve"> </w:t>
      </w:r>
      <w:r>
        <w:rPr>
          <w:iCs/>
          <w:i/>
        </w:rPr>
        <w:t xml:space="preserve">finding</w:t>
      </w:r>
      <w:r>
        <w:t xml:space="preserve">, not a failure of</w:t>
      </w:r>
      <w:r>
        <w:t xml:space="preserve"> </w:t>
      </w:r>
      <w:r>
        <w:t xml:space="preserve">the paper — it directly motivates the heteroscedastic /</w:t>
      </w:r>
      <w:r>
        <w:t xml:space="preserve"> </w:t>
      </w:r>
      <w:r>
        <w:t xml:space="preserve">fidelity-aware extensions in §4.6.</w:t>
      </w:r>
    </w:p>
    <w:p>
      <w:pPr>
        <w:pStyle w:val="BodyText"/>
      </w:pPr>
      <w:r>
        <w:rPr>
          <w:bCs/>
          <w:b/>
        </w:rPr>
        <w:t xml:space="preserve">Outcome (recorded 2026-05-06, after running the H6 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pass on the Phase A cohort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scripts/run_h6_evaluation.py</w:t>
      </w:r>
      <w:r>
        <w:rPr>
          <w:bCs/>
          <w:b/>
        </w:rPr>
        <w:t xml:space="preserve">).</w:t>
      </w:r>
      <w:r>
        <w:t xml:space="preserve"> </w:t>
      </w:r>
      <w:r>
        <w:t xml:space="preserve">The primary success criterion (≥ 0.90 bracket coverage of real event</w:t>
      </w:r>
      <w:r>
        <w:t xml:space="preserve"> </w:t>
      </w:r>
      <w:r>
        <w:t xml:space="preserve">times)</w:t>
      </w:r>
      <w:r>
        <w:t xml:space="preserve"> </w:t>
      </w:r>
      <w:r>
        <w:rPr>
          <w:bCs/>
          <w:b/>
        </w:rPr>
        <w:t xml:space="preserve">was not met</w:t>
      </w:r>
      <w:r>
        <w:t xml:space="preserve"> </w:t>
      </w:r>
      <w:r>
        <w:t xml:space="preserve">on the Phase A cohort: point coverage = 0.500</w:t>
      </w:r>
      <w:r>
        <w:t xml:space="preserve"> </w:t>
      </w:r>
      <w:r>
        <w:t xml:space="preserve">(4 / 8), interval-overlap coverage = 0.625 (5 / 8). Mean discrepancy</w:t>
      </w:r>
      <w:r>
        <w:t xml:space="preserve"> </w:t>
      </w:r>
      <w:r>
        <w:t xml:space="preserve">δ̄ = +26.6 s (real minus surrogate median) with 95 % bootstrap CI</w:t>
      </w:r>
      <w:r>
        <w:t xml:space="preserve"> </w:t>
      </w:r>
      <w:r>
        <w:t xml:space="preserve">[+6.3, +52.1]. The discrepancy is concentrated entirely in the</w:t>
      </w:r>
      <w:r>
        <w:t xml:space="preserve"> </w:t>
      </w:r>
      <w:r>
        <w:t xml:space="preserve">slow-onset regime (onset ≤ 0.5 G/s), where rows show δ between +6.9</w:t>
      </w:r>
      <w:r>
        <w:t xml:space="preserve"> </w:t>
      </w:r>
      <w:r>
        <w:t xml:space="preserve">and +81.0 s; rows for onset ≥ 1.0 G/s show no systematic bias</w:t>
      </w:r>
      <w:r>
        <w:t xml:space="preserve"> </w:t>
      </w:r>
      <w:r>
        <w:t xml:space="preserve">(|δ| ≤ 1.3 s, all in-bracket). The pattern is consistent with the</w:t>
      </w:r>
      <w:r>
        <w:t xml:space="preserve"> </w:t>
      </w:r>
      <w:r>
        <w:t xml:space="preserve">documented CGEM limitation that the relaxed-participant assumption</w:t>
      </w:r>
      <w:r>
        <w:t xml:space="preserve"> </w:t>
      </w:r>
      <w:r>
        <w:t xml:space="preserve">breaks down at long durations (Copeland &amp; Whinnery 2023 [7]); the</w:t>
      </w:r>
      <w:r>
        <w:t xml:space="preserve"> </w:t>
      </w:r>
      <w:r>
        <w:t xml:space="preserve">framework’s calibrated bracket should be treated as a lower bound on</w:t>
      </w:r>
      <w:r>
        <w:t xml:space="preserve"> </w:t>
      </w:r>
      <w:r>
        <w:t xml:space="preserve">real outcomes in the slow-onset regime. Reported transparently in</w:t>
      </w:r>
      <w:r>
        <w:t xml:space="preserve"> </w:t>
      </w:r>
      <w:r>
        <w:t xml:space="preserve">manuscript §3.7 (Table 5) and §4.4. The full per-row JSON is at</w:t>
      </w:r>
      <w:r>
        <w:t xml:space="preserve"> </w:t>
      </w:r>
      <w:r>
        <w:rPr>
          <w:rStyle w:val="VerbatimChar"/>
        </w:rPr>
        <w:t xml:space="preserve">data/results/h6/discrepancy_phase_a.json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.-new-artifacts-lock-list"/>
    <w:p>
      <w:pPr>
        <w:pStyle w:val="Heading2"/>
      </w:pPr>
      <w:r>
        <w:t xml:space="preserve">C. New artifacts (lock list)</w:t>
      </w:r>
    </w:p>
    <w:p>
      <w:pPr>
        <w:pStyle w:val="FirstParagraph"/>
      </w:pPr>
      <w:r>
        <w:t xml:space="preserve">The following artifacts are referenced by H5 and H6 and are</w:t>
      </w:r>
      <w:r>
        <w:t xml:space="preserve"> </w:t>
      </w:r>
      <w:r>
        <w:t xml:space="preserve">versioned at the commit-SHA at which the OSF amendment is posted.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cgem_ext/surrogate/cqr.py</w:t>
      </w:r>
      <w:r>
        <w:t xml:space="preserve"> </w:t>
      </w:r>
      <w:r>
        <w:t xml:space="preserve">— implements</w:t>
      </w:r>
      <w:r>
        <w:t xml:space="preserve"> </w:t>
      </w:r>
      <w:r>
        <w:rPr>
          <w:rStyle w:val="VerbatimChar"/>
        </w:rPr>
        <w:t xml:space="preserve">XGBQuantileSurrogate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TwoStageXGBQuantileSurrogate</w:t>
      </w:r>
      <w:r>
        <w:t xml:space="preserve">. CQR</w:t>
      </w:r>
      <w:r>
        <w:t xml:space="preserve"> </w:t>
      </w:r>
      <w:r>
        <w:t xml:space="preserve">hyperparameters: three quantile heads at α / 2, 0.5, 1 − α / 2,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objective="reg:quantileerror"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tree_method="hist"</w:t>
      </w:r>
      <w:r>
        <w:t xml:space="preserve">, and per-target monotonicity vectors from</w:t>
      </w:r>
      <w:r>
        <w:t xml:space="preserve"> </w:t>
      </w:r>
      <w:r>
        <w:rPr>
          <w:rStyle w:val="VerbatimChar"/>
        </w:rPr>
        <w:t xml:space="preserve">cgem_ext.surrogate.targets</w:t>
      </w:r>
      <w:r>
        <w:t xml:space="preserve">. All other XGBoost hyperparameters</w:t>
      </w:r>
      <w:r>
        <w:t xml:space="preserve"> </w:t>
      </w:r>
      <w:r>
        <w:t xml:space="preserve">inherit the locked values from §4.1 of the original pre-</w:t>
      </w:r>
      <w:r>
        <w:t xml:space="preserve"> </w:t>
      </w:r>
      <w:r>
        <w:t xml:space="preserve">registration.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cgem_ext/surrogate/conformal.py::MondrianCQR</w:t>
      </w:r>
      <w:r>
        <w:t xml:space="preserve"> </w:t>
      </w:r>
      <w:r>
        <w:t xml:space="preserve">— Romano et al.</w:t>
      </w:r>
      <w:r>
        <w:t xml:space="preserve"> </w:t>
      </w:r>
      <w:r>
        <w:t xml:space="preserve">(2019, Eq. 1) conformity scoring stratified by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, with the same</w:t>
      </w:r>
      <w:r>
        <w:t xml:space="preserve"> </w:t>
      </w:r>
      <w:r>
        <w:rPr>
          <w:rStyle w:val="VerbatimChar"/>
        </w:rPr>
        <w:t xml:space="preserve">ceil((n + 1)(1 − α)) / n</w:t>
      </w:r>
      <w:r>
        <w:t xml:space="preserve"> </w:t>
      </w:r>
      <w:r>
        <w:t xml:space="preserve">finite-sample correction as</w:t>
      </w:r>
      <w:r>
        <w:t xml:space="preserve"> </w:t>
      </w:r>
      <w:r>
        <w:rPr>
          <w:rStyle w:val="VerbatimChar"/>
        </w:rPr>
        <w:t xml:space="preserve">MondrianSplitConformal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data/archival/centrifuge_tables.parquet</w:t>
      </w:r>
      <w:r>
        <w:t xml:space="preserve"> </w:t>
      </w:r>
      <w:r>
        <w:t xml:space="preserve">— to be generated by</w:t>
      </w:r>
      <w:r>
        <w:t xml:space="preserve"> </w:t>
      </w:r>
      <w:r>
        <w:rPr>
          <w:rStyle w:val="VerbatimChar"/>
        </w:rPr>
        <w:t xml:space="preserve">scripts/extract_archival_tables.py</w:t>
      </w:r>
      <w:r>
        <w:t xml:space="preserve"> </w:t>
      </w:r>
      <w:r>
        <w:t xml:space="preserve">(Week 2 deliverable).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data/archival/PROVENANCE.md</w:t>
      </w:r>
      <w:r>
        <w:t xml:space="preserve"> </w:t>
      </w:r>
      <w:r>
        <w:t xml:space="preserve">— per-record citation chain and</w:t>
      </w:r>
      <w:r>
        <w:t xml:space="preserve"> </w:t>
      </w:r>
      <w:r>
        <w:t xml:space="preserve">mapping-rule audit log.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tests/test_cqr.py::test_cqr_fixes_time_to_gloc_under_coverage</w:t>
      </w:r>
      <w:r>
        <w:t xml:space="preserve"> </w:t>
      </w:r>
      <w:r>
        <w:t xml:space="preserve">— gated by</w:t>
      </w:r>
      <w:r>
        <w:t xml:space="preserve"> </w:t>
      </w:r>
      <w:r>
        <w:rPr>
          <w:rStyle w:val="VerbatimChar"/>
        </w:rPr>
        <w:t xml:space="preserve">needs_cgem_binary</w:t>
      </w:r>
      <w:r>
        <w:t xml:space="preserve">; the test is the executable</w:t>
      </w:r>
      <w:r>
        <w:t xml:space="preserve"> </w:t>
      </w:r>
      <w:r>
        <w:t xml:space="preserve">encoding of H5.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tests/test_archival.py</w:t>
      </w:r>
      <w:r>
        <w:t xml:space="preserve"> </w:t>
      </w:r>
      <w:r>
        <w:t xml:space="preserve">— to be created in Week 2; encodes</w:t>
      </w:r>
      <w:r>
        <w:t xml:space="preserve"> </w:t>
      </w:r>
      <w:r>
        <w:t xml:space="preserve">schema and provenance enforcement for the archival cohort.</w:t>
      </w:r>
    </w:p>
    <w:p>
      <w:r>
        <w:pict>
          <v:rect style="width:0;height:1.5pt" o:hralign="center" o:hrstd="t" o:hr="t"/>
        </w:pict>
      </w:r>
    </w:p>
    <w:bookmarkEnd w:id="24"/>
    <w:bookmarkStart w:id="25" w:name="d.-deviations-from-existing-hypotheses"/>
    <w:p>
      <w:pPr>
        <w:pStyle w:val="Heading2"/>
      </w:pPr>
      <w:r>
        <w:t xml:space="preserve">D. Deviations from existing hypotheses</w:t>
      </w:r>
    </w:p>
    <w:p>
      <w:pPr>
        <w:pStyle w:val="FirstParagraph"/>
      </w:pPr>
      <w:r>
        <w:t xml:space="preserve">None. H1–H4 remain at the values committed in the original</w:t>
      </w:r>
      <w:r>
        <w:t xml:space="preserve"> </w:t>
      </w:r>
      <w:r>
        <w:t xml:space="preserve">pre-registration. The original pre-registration’s H2 commentary</w:t>
      </w:r>
      <w:r>
        <w:t xml:space="preserve"> </w:t>
      </w:r>
      <w:r>
        <w:t xml:space="preserve">already noted that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under-coverage motivates a</w:t>
      </w:r>
      <w:r>
        <w:t xml:space="preserve"> </w:t>
      </w:r>
      <w:r>
        <w:t xml:space="preserve">heteroscedastic conformal extension (Romano et al. 2019); H5 is</w:t>
      </w:r>
      <w:r>
        <w:t xml:space="preserve"> </w:t>
      </w:r>
      <w:r>
        <w:t xml:space="preserve">the formal pre-registration of that extension.</w:t>
      </w:r>
    </w:p>
    <w:p>
      <w:r>
        <w:pict>
          <v:rect style="width:0;height:1.5pt" o:hralign="center" o:hrstd="t" o:hr="t"/>
        </w:pict>
      </w:r>
    </w:p>
    <w:bookmarkEnd w:id="25"/>
    <w:bookmarkStart w:id="26" w:name="e.-reporting"/>
    <w:p>
      <w:pPr>
        <w:pStyle w:val="Heading2"/>
      </w:pPr>
      <w:r>
        <w:t xml:space="preserve">E. Reporting</w:t>
      </w:r>
    </w:p>
    <w:p>
      <w:pPr>
        <w:pStyle w:val="FirstParagraph"/>
      </w:pPr>
      <w:r>
        <w:t xml:space="preserve">H5 and H6 are reported in the manuscript Section 3.3 (CQR coverage</w:t>
      </w:r>
      <w:r>
        <w:t xml:space="preserve"> </w:t>
      </w:r>
      <w:r>
        <w:t xml:space="preserve">table) and Section 3.7 (archival validation) respectively. Both</w:t>
      </w:r>
      <w:r>
        <w:t xml:space="preserve"> </w:t>
      </w:r>
      <w:r>
        <w:t xml:space="preserve">sections cite this amendment by OSF DOI and date.</w:t>
      </w:r>
    </w:p>
    <w:p>
      <w:pPr>
        <w:pStyle w:val="BodyText"/>
      </w:pPr>
      <w:r>
        <w:rPr>
          <w:bCs/>
          <w:b/>
        </w:rPr>
        <w:t xml:space="preserve">Author</w:t>
      </w:r>
      <w:r>
        <w:t xml:space="preserve">: Diego Malpica, MD.</w:t>
      </w:r>
      <w:r>
        <w:t xml:space="preserve"> </w:t>
      </w:r>
      <w:r>
        <w:rPr>
          <w:bCs/>
          <w:b/>
        </w:rPr>
        <w:t xml:space="preserve">Date drafted</w:t>
      </w:r>
      <w:r>
        <w:t xml:space="preserve">: 2026-05-06.</w:t>
      </w:r>
      <w:r>
        <w:t xml:space="preserve"> </w:t>
      </w:r>
      <w:r>
        <w:rPr>
          <w:bCs/>
          <w:b/>
        </w:rPr>
        <w:t xml:space="preserve">Date posted to OSF</w:t>
      </w:r>
      <w:r>
        <w:t xml:space="preserve">: TBD (to be inserted at posting time).</w:t>
      </w:r>
    </w:p>
    <w:p>
      <w:r>
        <w:pict>
          <v:rect style="width:0;height:1.5pt" o:hralign="center" o:hrstd="t" o:hr="t"/>
        </w:pict>
      </w:r>
    </w:p>
    <w:bookmarkEnd w:id="26"/>
    <w:bookmarkStart w:id="27" w:name="X04eb9d56725e3e68a30bf441c0c99f54bf41b90"/>
    <w:p>
      <w:pPr>
        <w:pStyle w:val="Heading2"/>
      </w:pPr>
      <w:r>
        <w:t xml:space="preserve">F. Reference-verification scout — manuscript bibliography corrections</w:t>
      </w:r>
    </w:p>
    <w:p>
      <w:pPr>
        <w:pStyle w:val="FirstParagraph"/>
      </w:pPr>
      <w:r>
        <w:t xml:space="preserve">A 2026-05-06 PubMed / Crossref / scite scout (one-hour bounded scope)</w:t>
      </w:r>
      <w:r>
        <w:t xml:space="preserve"> </w:t>
      </w:r>
      <w:r>
        <w:t xml:space="preserve">flagged two entries in the current manuscript reference list as</w:t>
      </w:r>
      <w:r>
        <w:t xml:space="preserve"> </w:t>
      </w:r>
      <w:r>
        <w:t xml:space="preserve">non-resolvable as cited. These corrections are recorded here so the</w:t>
      </w:r>
      <w:r>
        <w:t xml:space="preserve"> </w:t>
      </w:r>
      <w:r>
        <w:t xml:space="preserve">manuscript’s reference list can be updated under the same version</w:t>
      </w:r>
      <w:r>
        <w:t xml:space="preserve"> </w:t>
      </w:r>
      <w:r>
        <w:t xml:space="preserve">control as this amendment, and so reviewers can audit the 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Manuscript ref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originally 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[4] Whinnery 1990 (EEG response to +Gz)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electroencephalographic response to +Gz stress.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ASEM</w:t>
            </w:r>
            <w:r>
              <w:t xml:space="preserve"> </w:t>
            </w:r>
            <w:r>
              <w:t xml:space="preserve">61(5):435–439, PMID 2350248.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PubMed lookup of PMID 2350248 returns Avrushchenko et al. 1990,</w:t>
            </w:r>
            <w:r>
              <w:t xml:space="preserve"> </w:t>
            </w:r>
            <w:r>
              <w:t xml:space="preserve">“</w:t>
            </w:r>
            <w:r>
              <w:t xml:space="preserve">Structural and functional status of chromatin in the cerebral cortex…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Arkh Anat Gistol Embriol</w:t>
            </w:r>
            <w:r>
              <w:t xml:space="preserve"> </w:t>
            </w:r>
            <w:r>
              <w:t xml:space="preserve">98(1):42–8 — unrelated. (b) PubMed phrase search for</w:t>
            </w:r>
            <w:r>
              <w:t xml:space="preserve"> </w:t>
            </w:r>
            <w:r>
              <w:t xml:space="preserve">“</w:t>
            </w:r>
            <w:r>
              <w:t xml:space="preserve">electroencephalographic response to +Gz stress</w:t>
            </w:r>
            <w:r>
              <w:t xml:space="preserve">”</w:t>
            </w:r>
            <w:r>
              <w:t xml:space="preserve"> </w:t>
            </w:r>
            <w:r>
              <w:t xml:space="preserve">returns zero records. (c) The same is true via scite. The cited paper does not exist as written.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 Whinnery JE (1990),</w:t>
            </w:r>
            <w:r>
              <w:t xml:space="preserve"> </w:t>
            </w:r>
            <w:r>
              <w:t xml:space="preserve">“</w:t>
            </w:r>
            <w:r>
              <w:t xml:space="preserve">Recognizing +Gz-induced loss of consciousness and subject recovery from unconsciousness on a human centrifuge,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ASEM</w:t>
            </w:r>
            <w:r>
              <w:t xml:space="preserve"> </w:t>
            </w:r>
            <w:r>
              <w:t xml:space="preserve">61(5):406–411,</w:t>
            </w:r>
            <w:r>
              <w:t xml:space="preserve"> </w:t>
            </w:r>
            <w:r>
              <w:rPr>
                <w:bCs/>
                <w:b/>
              </w:rPr>
              <w:t xml:space="preserve">PMID 2350309</w:t>
            </w:r>
            <w:r>
              <w:t xml:space="preserve"> </w:t>
            </w:r>
            <w:r>
              <w:t xml:space="preserve">(verified via PubMed direct fetch). The replacement is closely topical (G-LOC recognition on a human centrifuge with &gt; 500 documented cases) and a real, attributable Whinnery 1990 paper at the right journal/volume/issue, anchoring the same §1 ¶2 claim about the multi-factorial nature of G-LOC physiology.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[5] Burns &amp; Kruger 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Mathematical model of G-LOC onset time: validation and sensitivity analysis.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ASEM</w:t>
            </w:r>
            <w:r>
              <w:t xml:space="preserve"> </w:t>
            </w:r>
            <w:r>
              <w:t xml:space="preserve">68(2):120–126, PMID 9143752.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PubMed lookup of PMID 9143752 returns Eshel et al. (1997),</w:t>
            </w:r>
            <w:r>
              <w:t xml:space="preserve"> </w:t>
            </w:r>
            <w:r>
              <w:t xml:space="preserve">“</w:t>
            </w:r>
            <w:r>
              <w:t xml:space="preserve">Hyperthermia-induced cardiac arrest in monkeys: limited efficacy of standard CPR,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ASEM</w:t>
            </w:r>
            <w:r>
              <w:t xml:space="preserve"> </w:t>
            </w:r>
            <w:r>
              <w:t xml:space="preserve">68(5):415–20 — unrelated. (b) PubMed direct search</w:t>
            </w:r>
            <w:r>
              <w:t xml:space="preserve"> </w:t>
            </w:r>
            <w:r>
              <w:t xml:space="preserve">“</w:t>
            </w:r>
            <w:r>
              <w:t xml:space="preserve">Burns Kruger G-LOC</w:t>
            </w:r>
            <w:r>
              <w:t xml:space="preserve">”</w:t>
            </w:r>
            <w:r>
              <w:t xml:space="preserve"> </w:t>
            </w:r>
            <w:r>
              <w:t xml:space="preserve">returns zero records. (c) PubMed phrase search</w:t>
            </w:r>
            <w:r>
              <w:t xml:space="preserve"> </w:t>
            </w:r>
            <w:r>
              <w:t xml:space="preserve">“</w:t>
            </w:r>
            <w:r>
              <w:t xml:space="preserve">mathematical model G-LOC onset</w:t>
            </w:r>
            <w:r>
              <w:t xml:space="preserve">”</w:t>
            </w:r>
            <w:r>
              <w:t xml:space="preserve"> </w:t>
            </w:r>
            <w:r>
              <w:t xml:space="preserve">returns zero records. (d) Crossref / scite searches return zero records for the cited title.</w:t>
            </w:r>
            <w:r>
              <w:t xml:space="preserve"> </w:t>
            </w:r>
            <w:r>
              <w:rPr>
                <w:bCs/>
                <w:b/>
              </w:rPr>
              <w:t xml:space="preserve">The cited paper does not exist.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 Whinnery JE &amp; Forster EM (2013),</w:t>
            </w:r>
            <w:r>
              <w:t xml:space="preserve"> </w:t>
            </w:r>
            <w:r>
              <w:t xml:space="preserve">“</w:t>
            </w:r>
            <w:r>
              <w:t xml:space="preserve">The +Gz-induced loss of consciousness curve,</w:t>
            </w:r>
            <w:r>
              <w:t xml:space="preserve">”</w:t>
            </w:r>
            <w:r>
              <w:t xml:space="preserve"> </w:t>
            </w:r>
            <w:r>
              <w:rPr>
                <w:iCs/>
                <w:i/>
              </w:rPr>
              <w:t xml:space="preserve">Extreme Physiology &amp; Medicine</w:t>
            </w:r>
            <w:r>
              <w:t xml:space="preserve"> </w:t>
            </w:r>
            <w:r>
              <w:t xml:space="preserve">2(1):19,</w:t>
            </w:r>
            <w:r>
              <w:t xml:space="preserve"> </w:t>
            </w:r>
            <w:r>
              <w:rPr>
                <w:bCs/>
                <w:b/>
              </w:rPr>
              <w:t xml:space="preserve">DOI 10.1186/2046-7648-2-19</w:t>
            </w:r>
            <w:r>
              <w:t xml:space="preserve"> </w:t>
            </w:r>
            <w:r>
              <w:t xml:space="preserve">(open-access, CC-BY, n = 888 centrifuge G-LOC episodes; tabulated G-LOC times by onset rate and Gz level). The replacement is a real, citable, verified open-access source for the same §1 ¶2 claim about G-LOC physiology being multi-factorial and</w:t>
            </w:r>
            <w:r>
              <w:t xml:space="preserve"> </w:t>
            </w:r>
            <w:r>
              <w:rPr>
                <w:iCs/>
                <w:i/>
              </w:rPr>
              <w:t xml:space="preserve">additionally</w:t>
            </w:r>
            <w:r>
              <w:t xml:space="preserve"> </w:t>
            </w:r>
            <w:r>
              <w:t xml:space="preserve">serves as the primary archival cohort source for H6 (see §B above).</w:t>
            </w:r>
          </w:p>
        </w:tc>
      </w:tr>
    </w:tbl>
    <w:p>
      <w:pPr>
        <w:pStyle w:val="BodyText"/>
      </w:pPr>
      <w:r>
        <w:t xml:space="preserve">These corrections are bibliography-only (no scientific claim is added</w:t>
      </w:r>
      <w:r>
        <w:t xml:space="preserve"> </w:t>
      </w:r>
      <w:r>
        <w:t xml:space="preserve">or retracted by the substitution); they are recorded here as an</w:t>
      </w:r>
      <w:r>
        <w:t xml:space="preserve"> </w:t>
      </w:r>
      <w:r>
        <w:t xml:space="preserve">authoritative audit trail. The substitutions land in the manuscript</w:t>
      </w:r>
      <w:r>
        <w:t xml:space="preserve"> </w:t>
      </w:r>
      <w:r>
        <w:t xml:space="preserve">under the same commit as this amendment update so the cite chain</w:t>
      </w:r>
      <w:r>
        <w:t xml:space="preserve"> </w:t>
      </w:r>
      <w:r>
        <w:t xml:space="preserve">remains coherent before any test-set evaluation under H5 / H6.</w:t>
      </w:r>
    </w:p>
    <w:bookmarkEnd w:id="27"/>
    <w:bookmarkEnd w:id="28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2026-05-14T08:38:54Z</dcterms:created>
  <dcterms:modified xsi:type="dcterms:W3CDTF">2026-05-14T08:38:54Z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