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24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Supplementary Table S3</w:t>
      </w:r>
    </w:p>
    <w:p>
      <w:pPr>
        <w:spacing w:line="480" w:lineRule="auto" w:before="120" w:after="12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S3.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Second-order Sobol interaction indices (S₂) for the top |S₂| pairs per target, with the SALib bootstrap half-width (95 % CI: S₂ ± S2_conf). All five surrogate targets are included. Negative S₂ values within ±2 × half-width are consistent with sampling noise at the N = 1,024 Saltelli base sample. Rows are sorted by |S₂| descending within each target. Source: `data/results/sensitivity/sobol_second_order.csv`.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Target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Feature i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Feature j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S₂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S₂ 95 % CI half-width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time_to_greyout_s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+0.1610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0.0952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dgdt_max_g_per_s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+0.0321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0.0936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dgdt_max_g_per_s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-0.0170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0.0465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dgdt_max_g_per_s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gsuit_max_psi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-0.0160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0.0465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dgdt_max_g_per_s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gsuit_coverage_fraction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-0.0160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0.0465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dgdt_max_g_per_s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pbg_max_mmhg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-0.0160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0.0465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time_to_blackout_s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+0.1800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0.1090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agsm_effectiveness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+0.0240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0.0592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+0.0232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0.0594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gsuit_max_psi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+0.0230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0.0594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gsuit_coverage_fraction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+0.0230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0.0594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pbg_max_mmhg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+0.0230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0.0594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time_to_gloc_s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+0.1582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0.1895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dgdt_max_g_per_s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+0.0808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0.1765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gsuit_max_psi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+0.0303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0.1647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gsuit_coverage_fraction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+0.0303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0.1647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pbg_max_mmhg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+0.0303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0.1647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g_tolerance_multiplier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+0.0303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0.1647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hlap_min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gsuit_max_psi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0.0249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gsuit_coverage_fraction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0.0249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pbg_max_mmhg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0.0249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g_tolerance_multiplier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0.0249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agsm_effectiveness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-0.0007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0.0248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+0.0005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0.0008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c_bank_min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g_peak_abs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+0.1006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0.0972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dehydration_level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-0.0286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0.0595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gsuit_max_psi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-0.0279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gsuit_coverage_fraction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-0.0279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pbg_max_mmhg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-0.0279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0.0597</w:t>
            </w:r>
          </w:p>
        </w:tc>
      </w:tr>
      <w:tr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profile_duration_s</w:t>
            </w:r>
          </w:p>
        </w:tc>
        <w:tc>
          <w:tcPr>
            <w:tcW w:type="dxa" w:w="204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g_tolerance_multiplier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-0.0279</w:t>
            </w:r>
          </w:p>
        </w:tc>
        <w:tc>
          <w:tcPr>
            <w:tcW w:type="dxa" w:w="136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0.0597</w:t>
            </w:r>
          </w:p>
        </w:tc>
      </w:tr>
    </w:tbl>
    <w:p>
      <w:pPr>
        <w:spacing w:line="480" w:lineRule="auto" w:before="60" w:after="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Footnote — Sobol indices are computed via SALib's Saltelli sampler (N = 1,024 base, 20,480 total surrogate evaluations) and standard Sobol estimator. Bootstrap half-widths are SALib's default. The strongest interaction across all time targets is `g_peak_abs × profile_duration_s`, consistent with the discussion in §3.6.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  <w:lnNumType w:countBy="1" w:restart="continuous" w:start="1" w:distan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