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15f6a9e89a65ae7628da728d83ac63181f65ab"/>
    <w:p>
      <w:pPr>
        <w:pStyle w:val="Heading1"/>
      </w:pPr>
      <w:r>
        <w:t xml:space="preserve">Graphical Abstract &amp; Graphical Table of Contents — IJNMBE submission</w:t>
      </w:r>
    </w:p>
    <w:p>
      <w:pPr>
        <w:pStyle w:val="BlockText"/>
      </w:pPr>
      <w:r>
        <w:rPr>
          <w:bCs/>
          <w:b/>
        </w:rPr>
        <w:t xml:space="preserve">Two mandatory items at IJNMBE.</w:t>
      </w:r>
      <w:r>
        <w:t xml:space="preserve"> </w:t>
      </w:r>
      <w:r>
        <w:t xml:space="preserve">Both upload separately in the Wiley</w:t>
      </w:r>
      <w:r>
        <w:t xml:space="preserve"> </w:t>
      </w:r>
      <w:r>
        <w:t xml:space="preserve">CNM portal: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graphic</w:t>
      </w:r>
      <w:r>
        <w:t xml:space="preserve"> </w:t>
      </w:r>
      <w:r>
        <w:t xml:space="preserve">(image file) → portal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Table of Contents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mini-abstract text</w:t>
      </w:r>
      <w:r>
        <w:t xml:space="preserve"> </w:t>
      </w:r>
      <w:r>
        <w:t xml:space="preserve">(this document, content below) → portal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Abstract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77374e99b783c3d4352daa5d17a774973c8a139"/>
    <w:p>
      <w:pPr>
        <w:pStyle w:val="Heading2"/>
      </w:pPr>
      <w:r>
        <w:t xml:space="preserve">(a) Mini-abstract text — upload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Abstract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Conformal machine-learning emulation and out-of-distribution</w:t>
      </w:r>
      <w:r>
        <w:t xml:space="preserve"> </w:t>
      </w:r>
      <w:r>
        <w:t xml:space="preserve">detection for the FAA CAMI G-Effects mechanistic model of acceleration</w:t>
      </w:r>
      <w:r>
        <w:t xml:space="preserve"> </w:t>
      </w:r>
      <w:r>
        <w:t xml:space="preserve">physiology.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Diego Malpica, MD*</w:t>
      </w:r>
    </w:p>
    <w:p>
      <w:pPr>
        <w:pStyle w:val="BodyText"/>
      </w:pPr>
      <w:r>
        <w:t xml:space="preserve">* Corresponding author. Direction of Aerospace Medicine, Aerospace</w:t>
      </w:r>
      <w:r>
        <w:t xml:space="preserve"> </w:t>
      </w:r>
      <w:r>
        <w:t xml:space="preserve">Scientific Department, Colombian Aerospace Force, Bogotá, Colombia.</w:t>
      </w:r>
      <w:r>
        <w:t xml:space="preserve"> </w:t>
      </w:r>
      <w:r>
        <w:t xml:space="preserve">ORCID: 0000-0002-2257-4940.</w:t>
      </w:r>
    </w:p>
    <w:p>
      <w:pPr>
        <w:pStyle w:val="BodyText"/>
      </w:pPr>
      <w:r>
        <w:rPr>
          <w:bCs/>
          <w:b/>
        </w:rPr>
        <w:t xml:space="preserve">Mini-abstract (≤ 80 words / ≤ 3 sentences):</w:t>
      </w:r>
    </w:p>
    <w:p>
      <w:pPr>
        <w:pStyle w:val="BodyText"/>
      </w:pPr>
      <w:r>
        <w:t xml:space="preserve">A four-element machine-learning wrapper — XGBoost surrogate, Mondrian</w:t>
      </w:r>
      <w:r>
        <w:t xml:space="preserve"> </w:t>
      </w:r>
      <w:r>
        <w:t xml:space="preserve">split-conformal intervals, heteroscedastic CQR for time-to-G-LOC, and</w:t>
      </w:r>
      <w:r>
        <w:t xml:space="preserve"> </w:t>
      </w:r>
      <w:r>
        <w:t xml:space="preserve">conformal-distance OOD abstention — surrounds the FAA-validated CGEM</w:t>
      </w:r>
      <w:r>
        <w:t xml:space="preserve"> </w:t>
      </w:r>
      <w:r>
        <w:t xml:space="preserve">Fortran ODE model of +Gz physiology without modifying it. On the</w:t>
      </w:r>
      <w:r>
        <w:t xml:space="preserve"> </w:t>
      </w:r>
      <w:r>
        <w:t xml:space="preserve">pre-registered held-out test split, the surrogate is ~180× faster than</w:t>
      </w:r>
      <w:r>
        <w:t xml:space="preserve"> </w:t>
      </w:r>
      <w:r>
        <w:t xml:space="preserve">direct subprocess invocation and conformal coverage stays within ±5 pp</w:t>
      </w:r>
      <w:r>
        <w:t xml:space="preserve"> </w:t>
      </w:r>
      <w:r>
        <w:t xml:space="preserve">of nominal 95 % on all five targets once CQR replaces the Mondrian</w:t>
      </w:r>
      <w:r>
        <w:t xml:space="preserve"> </w:t>
      </w:r>
      <w:r>
        <w:t xml:space="preserve">baseline on time-to-G-LOC. The additive pattern generalises to any</w:t>
      </w:r>
      <w:r>
        <w:t xml:space="preserve"> </w:t>
      </w:r>
      <w:r>
        <w:t xml:space="preserve">validated biomedical ODE model.</w:t>
      </w:r>
    </w:p>
    <w:p>
      <w:pPr>
        <w:pStyle w:val="BodyText"/>
      </w:pPr>
      <w:r>
        <w:rPr>
          <w:bCs/>
          <w:b/>
        </w:rPr>
        <w:t xml:space="preserve">Self-audit:</w:t>
      </w:r>
    </w:p>
    <w:p>
      <w:pPr>
        <w:numPr>
          <w:ilvl w:val="0"/>
          <w:numId w:val="1001"/>
        </w:numPr>
        <w:pStyle w:val="Compact"/>
      </w:pPr>
      <w:r>
        <w:t xml:space="preserve">Word count of the mini-abstract paragraph:</w:t>
      </w:r>
      <w:r>
        <w:t xml:space="preserve"> </w:t>
      </w:r>
      <w:r>
        <w:rPr>
          <w:bCs/>
          <w:b/>
        </w:rPr>
        <w:t xml:space="preserve">80 words</w:t>
      </w:r>
      <w:r>
        <w:t xml:space="preserve"> </w:t>
      </w:r>
      <w:r>
        <w:t xml:space="preserve">/ 80. PASS (exactly at cap).</w:t>
      </w:r>
    </w:p>
    <w:p>
      <w:pPr>
        <w:numPr>
          <w:ilvl w:val="0"/>
          <w:numId w:val="1001"/>
        </w:numPr>
        <w:pStyle w:val="Compact"/>
      </w:pPr>
      <w:r>
        <w:t xml:space="preserve">Sentence count:</w:t>
      </w:r>
      <w:r>
        <w:t xml:space="preserve"> </w:t>
      </w:r>
      <w:r>
        <w:rPr>
          <w:bCs/>
          <w:b/>
        </w:rPr>
        <w:t xml:space="preserve">3 sentences</w:t>
      </w:r>
      <w:r>
        <w:t xml:space="preserve"> </w:t>
      </w:r>
      <w:r>
        <w:t xml:space="preserve">/ 3 max. PASS.</w:t>
      </w:r>
    </w:p>
    <w:p>
      <w:pPr>
        <w:numPr>
          <w:ilvl w:val="0"/>
          <w:numId w:val="1001"/>
        </w:numPr>
        <w:pStyle w:val="Compact"/>
      </w:pPr>
      <w:r>
        <w:t xml:space="preserve">Self-contained; no citations; no figure / table / equation references.</w:t>
      </w:r>
      <w:r>
        <w:t xml:space="preserve"> </w:t>
      </w:r>
      <w:r>
        <w:t xml:space="preserve">PASS.</w:t>
      </w:r>
    </w:p>
    <w:p>
      <w:pPr>
        <w:numPr>
          <w:ilvl w:val="0"/>
          <w:numId w:val="1001"/>
        </w:numPr>
        <w:pStyle w:val="Compact"/>
      </w:pPr>
      <w:r>
        <w:t xml:space="preserve">Quantitative anchors present (~180×, ±5 pp, all 5 targets, 95 %).</w:t>
      </w:r>
      <w:r>
        <w:t xml:space="preserve"> </w:t>
      </w:r>
      <w:r>
        <w:t xml:space="preserve">PASS.</w:t>
      </w:r>
    </w:p>
    <w:p>
      <w:pPr>
        <w:numPr>
          <w:ilvl w:val="0"/>
          <w:numId w:val="1001"/>
        </w:numPr>
        <w:pStyle w:val="Compact"/>
      </w:pPr>
      <w:r>
        <w:t xml:space="preserve">Updated 2026-05-12: mini-abstract synced to the post-CQR (OSF</w:t>
      </w:r>
      <w:r>
        <w:t xml:space="preserve"> </w:t>
      </w:r>
      <w:r>
        <w:t xml:space="preserve">amendment H5) framing — replaces the earlier</w:t>
      </w:r>
      <w:r>
        <w:t xml:space="preserve"> </w:t>
      </w:r>
      <w:r>
        <w:t xml:space="preserve">“</w:t>
      </w:r>
      <w:r>
        <w:t xml:space="preserve">within 4.6 pp on 4 of 5</w:t>
      </w:r>
      <w:r>
        <w:t xml:space="preserve"> </w:t>
      </w:r>
      <w:r>
        <w:t xml:space="preserve">targets</w:t>
      </w:r>
      <w:r>
        <w:t xml:space="preserve">”</w:t>
      </w:r>
      <w:r>
        <w:t xml:space="preserve"> </w:t>
      </w:r>
      <w:r>
        <w:t xml:space="preserve">wording, which described only the homoscedastic Mondrian</w:t>
      </w:r>
      <w:r>
        <w:t xml:space="preserve"> </w:t>
      </w:r>
      <w:r>
        <w:t xml:space="preserve">baseline. The 5th target (time-to-G-LOC) is now explicitly captured</w:t>
      </w:r>
      <w:r>
        <w:t xml:space="preserve"> </w:t>
      </w:r>
      <w:r>
        <w:t xml:space="preserve">via CQR.</w:t>
      </w:r>
    </w:p>
    <w:p>
      <w:r>
        <w:pict>
          <v:rect style="width:0;height:1.5pt" o:hralign="center" o:hrstd="t" o:hr="t"/>
        </w:pict>
      </w:r>
    </w:p>
    <w:bookmarkEnd w:id="20"/>
    <w:bookmarkStart w:id="21" w:name="Xb5ec4df6745448a53efe521668338f4bedb7f6d"/>
    <w:p>
      <w:pPr>
        <w:pStyle w:val="Heading2"/>
      </w:pPr>
      <w:r>
        <w:t xml:space="preserve">(b) Graphical Table of Contents — image specification</w:t>
      </w:r>
    </w:p>
    <w:p>
      <w:pPr>
        <w:pStyle w:val="FirstParagraph"/>
      </w:pPr>
      <w:r>
        <w:rPr>
          <w:bCs/>
          <w:b/>
        </w:rPr>
        <w:t xml:space="preserve">Upload portal label: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Table of Contents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Output target:</w:t>
      </w:r>
      <w:r>
        <w:t xml:space="preserve"> </w:t>
      </w:r>
      <w:r>
        <w:rPr>
          <w:rStyle w:val="VerbatimChar"/>
        </w:rPr>
        <w:t xml:space="preserve">data/results/figures/graphical_toc.png</w:t>
      </w:r>
      <w:r>
        <w:t xml:space="preserve"> </w:t>
      </w:r>
      <w:r>
        <w:t xml:space="preserve">(300 dpi</w:t>
      </w:r>
      <w:r>
        <w:t xml:space="preserve"> </w:t>
      </w:r>
      <w:r>
        <w:t xml:space="preserve">raster)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data/results/figures/graphical_toc.pdf</w:t>
      </w:r>
      <w:r>
        <w:t xml:space="preserve"> </w:t>
      </w:r>
      <w:r>
        <w:t xml:space="preserve">(vector,</w:t>
      </w:r>
      <w:r>
        <w:t xml:space="preserve"> </w:t>
      </w:r>
      <w:r>
        <w:t xml:space="preserve">preferred).</w:t>
      </w:r>
    </w:p>
    <w:p>
      <w:pPr>
        <w:pStyle w:val="BodyText"/>
      </w:pPr>
      <w:r>
        <w:rPr>
          <w:bCs/>
          <w:b/>
        </w:rPr>
        <w:t xml:space="preserve">Specifications (verified against the IJNMBE Author Guidelines):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300 dpi raster, or vector PDF/EPS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(1 : 1) or wide (5 : 3); avoid extreme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inside the graphic legible at ~ 200 px 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colour-blind-safe palette (Okabe-Ito or 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Greyscale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figure must remain interpretable in greyscale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Tints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greyscale shading</w:t>
            </w:r>
            <w:r>
              <w:t xml:space="preserve"> </w:t>
            </w:r>
            <w:r>
              <w:t xml:space="preserve">to encode categorical data — IJNMBE explicitly forbids tints; use solid colour fills, line styles, hatching, or explicit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legend in the artwork itself, not in a separate caption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Suggested layout</w:t>
      </w:r>
      <w:r>
        <w:t xml:space="preserve"> </w:t>
      </w:r>
      <w:r>
        <w:t xml:space="preserve">— three-panel composite that conveys the central</w:t>
      </w:r>
      <w:r>
        <w:t xml:space="preserve"> </w:t>
      </w:r>
      <w:r>
        <w:t xml:space="preserve">methodological insight at thumbnail size:</w:t>
      </w:r>
    </w:p>
    <w:p>
      <w:pPr>
        <w:pStyle w:val="SourceCode"/>
      </w:pPr>
      <w:r>
        <w:rPr>
          <w:rStyle w:val="VerbatimChar"/>
        </w:rPr>
        <w:t xml:space="preserve">+-------------------------------+----------------------------------+</w:t>
      </w:r>
      <w:r>
        <w:br/>
      </w:r>
      <w:r>
        <w:rPr>
          <w:rStyle w:val="VerbatimChar"/>
        </w:rPr>
        <w:t xml:space="preserve">|                               |                                  |</w:t>
      </w:r>
      <w:r>
        <w:br/>
      </w:r>
      <w:r>
        <w:rPr>
          <w:rStyle w:val="VerbatimChar"/>
        </w:rPr>
        <w:t xml:space="preserve">|   PANEL A                     |   PANEL B                        |</w:t>
      </w:r>
      <w:r>
        <w:br/>
      </w:r>
      <w:r>
        <w:rPr>
          <w:rStyle w:val="VerbatimChar"/>
        </w:rPr>
        <w:t xml:space="preserve">|   (ARCHITECTURE DIAGRAM)      |   (SPEED + COVERAGE SUMMARY)     |</w:t>
      </w:r>
      <w:r>
        <w:br/>
      </w:r>
      <w:r>
        <w:rPr>
          <w:rStyle w:val="VerbatimChar"/>
        </w:rPr>
        <w:t xml:space="preserve">|                               |                                  |</w:t>
      </w:r>
      <w:r>
        <w:br/>
      </w:r>
      <w:r>
        <w:rPr>
          <w:rStyle w:val="VerbatimChar"/>
        </w:rPr>
        <w:t xml:space="preserve">|   [ CGEM Fortran core ]       |   ~180×  faster                  |</w:t>
      </w:r>
      <w:r>
        <w:br/>
      </w:r>
      <w:r>
        <w:rPr>
          <w:rStyle w:val="VerbatimChar"/>
        </w:rPr>
        <w:t xml:space="preserve">|         |                     |   ──────────────────             |</w:t>
      </w:r>
      <w:r>
        <w:br/>
      </w:r>
      <w:r>
        <w:rPr>
          <w:rStyle w:val="VerbatimChar"/>
        </w:rPr>
        <w:t xml:space="preserve">|   [ Python wrapper ]          |   95 % nominal coverage          |</w:t>
      </w:r>
      <w:r>
        <w:br/>
      </w:r>
      <w:r>
        <w:rPr>
          <w:rStyle w:val="VerbatimChar"/>
        </w:rPr>
        <w:t xml:space="preserve">|         |                     |   ▓▓▓▓▓▓▓▓▓░  4 of 5 targets     |</w:t>
      </w:r>
      <w:r>
        <w:br/>
      </w:r>
      <w:r>
        <w:rPr>
          <w:rStyle w:val="VerbatimChar"/>
        </w:rPr>
        <w:t xml:space="preserve">|   ┌─────┴─────┐               |    within ±4.6 pp                |</w:t>
      </w:r>
      <w:r>
        <w:br/>
      </w:r>
      <w:r>
        <w:rPr>
          <w:rStyle w:val="VerbatimChar"/>
        </w:rPr>
        <w:t xml:space="preserve">|   │ Surrogate │               |                                  |</w:t>
      </w:r>
      <w:r>
        <w:br/>
      </w:r>
      <w:r>
        <w:rPr>
          <w:rStyle w:val="VerbatimChar"/>
        </w:rPr>
        <w:t xml:space="preserve">|   │ Conformal │               |   OOD calibration:               |</w:t>
      </w:r>
      <w:r>
        <w:br/>
      </w:r>
      <w:r>
        <w:rPr>
          <w:rStyle w:val="VerbatimChar"/>
        </w:rPr>
        <w:t xml:space="preserve">|   │   OOD     │               |   ▓▓▓▓▓▓▓▓▓▓  0.953              |</w:t>
      </w:r>
      <w:r>
        <w:br/>
      </w:r>
      <w:r>
        <w:rPr>
          <w:rStyle w:val="VerbatimChar"/>
        </w:rPr>
        <w:t xml:space="preserve">|   │  Sobol    │               |    (nominal 0.95)                |</w:t>
      </w:r>
      <w:r>
        <w:br/>
      </w:r>
      <w:r>
        <w:rPr>
          <w:rStyle w:val="VerbatimChar"/>
        </w:rPr>
        <w:t xml:space="preserve">|   └─────┬─────┘               |                                  |</w:t>
      </w:r>
      <w:r>
        <w:br/>
      </w:r>
      <w:r>
        <w:rPr>
          <w:rStyle w:val="VerbatimChar"/>
        </w:rPr>
        <w:t xml:space="preserve">|         |                     |                                  |</w:t>
      </w:r>
      <w:r>
        <w:br/>
      </w:r>
      <w:r>
        <w:rPr>
          <w:rStyle w:val="VerbatimChar"/>
        </w:rPr>
        <w:t xml:space="preserve">|   [ FastAPI service /         |                                  |</w:t>
      </w:r>
      <w:r>
        <w:br/>
      </w:r>
      <w:r>
        <w:rPr>
          <w:rStyle w:val="VerbatimChar"/>
        </w:rPr>
        <w:t xml:space="preserve">|     React frontend ]          |                                  |</w:t>
      </w:r>
      <w:r>
        <w:br/>
      </w:r>
      <w:r>
        <w:rPr>
          <w:rStyle w:val="VerbatimChar"/>
        </w:rPr>
        <w:t xml:space="preserve">+-------------------------------+----------------------------------+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PANEL C (TITLE STRIP)                                          |</w:t>
      </w:r>
      <w:r>
        <w:br/>
      </w:r>
      <w:r>
        <w:rPr>
          <w:rStyle w:val="VerbatimChar"/>
        </w:rPr>
        <w:t xml:space="preserve">|   Conformal ML wrapper for a validated ODE physiological model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pPr>
        <w:pStyle w:val="FirstParagraph"/>
      </w:pPr>
      <w:r>
        <w:t xml:space="preserve">The architecture diagram in Panel A is essentially the simplified version</w:t>
      </w:r>
      <w:r>
        <w:t xml:space="preserve"> </w:t>
      </w:r>
      <w:r>
        <w:t xml:space="preserve">of manuscript Figure 6, conveying the</w:t>
      </w:r>
      <w:r>
        <w:t xml:space="preserve"> </w:t>
      </w:r>
      <w:r>
        <w:rPr>
          <w:iCs/>
          <w:i/>
        </w:rPr>
        <w:t xml:space="preserve">additive-wrapper</w:t>
      </w:r>
      <w:r>
        <w:t xml:space="preserve"> </w:t>
      </w:r>
      <w:r>
        <w:t xml:space="preserve">concept at a</w:t>
      </w:r>
      <w:r>
        <w:t xml:space="preserve"> </w:t>
      </w:r>
      <w:r>
        <w:t xml:space="preserve">glance. Panel B carries the headline empirical anchor (180× speedup +</w:t>
      </w:r>
      <w:r>
        <w:t xml:space="preserve"> </w:t>
      </w:r>
      <w:r>
        <w:t xml:space="preserve">calibrated coverage). Panel C carries the title strip so the figure is</w:t>
      </w:r>
      <w:r>
        <w:t xml:space="preserve"> </w:t>
      </w:r>
      <w:r>
        <w:t xml:space="preserve">self-explanatory in the journal’s online table-of-contents.</w:t>
      </w:r>
    </w:p>
    <w:p>
      <w:pPr>
        <w:pStyle w:val="BodyText"/>
      </w:pPr>
      <w:r>
        <w:rPr>
          <w:bCs/>
          <w:b/>
        </w:rPr>
        <w:t xml:space="preserve">Render pipeline (automated, run from the repo root):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scripts/build_graphical_toc.py</w:t>
      </w:r>
    </w:p>
    <w:p>
      <w:pPr>
        <w:pStyle w:val="FirstParagraph"/>
      </w:pPr>
      <w:r>
        <w:t xml:space="preserve">The script (</w:t>
      </w:r>
      <w:r>
        <w:rPr>
          <w:rStyle w:val="VerbatimChar"/>
        </w:rPr>
        <w:t xml:space="preserve">scripts/build_graphical_toc.py</w:t>
      </w:r>
      <w:r>
        <w:t xml:space="preserve">) produces both panels</w:t>
      </w:r>
      <w:r>
        <w:t xml:space="preserve"> </w:t>
      </w:r>
      <w:r>
        <w:t xml:space="preserve">end-to-end: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A — architecture diagram.</w:t>
      </w:r>
      <w:r>
        <w:t xml:space="preserve"> </w:t>
      </w:r>
      <w:r>
        <w:t xml:space="preserve">Source: a simplified four-tier</w:t>
      </w:r>
      <w:r>
        <w:t xml:space="preserve"> </w:t>
      </w:r>
      <w:r>
        <w:t xml:space="preserve">Mermaid flowchart at</w:t>
      </w:r>
      <w:r>
        <w:t xml:space="preserve"> </w:t>
      </w:r>
      <w:r>
        <w:rPr>
          <w:rStyle w:val="VerbatimChar"/>
        </w:rPr>
        <w:t xml:space="preserve">data/results/figures/graphical_toc_panel_a.mmd</w:t>
      </w:r>
      <w:r>
        <w:t xml:space="preserve"> </w:t>
      </w:r>
      <w:r>
        <w:t xml:space="preserve">(deployment → ML extension → wrapper → FAA-validated CGEM). Rendered</w:t>
      </w:r>
      <w:r>
        <w:t xml:space="preserve"> </w:t>
      </w:r>
      <w:r>
        <w:t xml:space="preserve">to SVG via</w:t>
      </w:r>
      <w:r>
        <w:t xml:space="preserve"> </w:t>
      </w:r>
      <w:r>
        <w:rPr>
          <w:rStyle w:val="VerbatimChar"/>
        </w:rPr>
        <w:t xml:space="preserve">mermaid.ink</w:t>
      </w:r>
      <w:r>
        <w:t xml:space="preserve"> </w:t>
      </w:r>
      <w:r>
        <w:t xml:space="preserve">(the same upstream service the</w:t>
      </w:r>
      <w:r>
        <w:t xml:space="preserve"> </w:t>
      </w:r>
      <w:r>
        <w:rPr>
          <w:rStyle w:val="VerbatimChar"/>
        </w:rPr>
        <w:t xml:space="preserve">cli-anything-mermaid</w:t>
      </w:r>
      <w:r>
        <w:t xml:space="preserve"> </w:t>
      </w:r>
      <w:r>
        <w:t xml:space="preserve">skill uses). Output:</w:t>
      </w:r>
      <w:r>
        <w:t xml:space="preserve"> </w:t>
      </w:r>
      <w:r>
        <w:rPr>
          <w:rStyle w:val="VerbatimChar"/>
        </w:rPr>
        <w:t xml:space="preserve">data/results/figures/graphical_toc_panel_a.svg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B — speed + coverage + OOD summary.</w:t>
      </w:r>
      <w:r>
        <w:t xml:space="preserve"> </w:t>
      </w:r>
      <w:r>
        <w:t xml:space="preserve">Source: an ECharts 6</w:t>
      </w:r>
      <w:r>
        <w:t xml:space="preserve"> </w:t>
      </w:r>
      <w:r>
        <w:t xml:space="preserve">option object at</w:t>
      </w:r>
      <w:r>
        <w:t xml:space="preserve"> </w:t>
      </w:r>
      <w:r>
        <w:rPr>
          <w:rStyle w:val="VerbatimChar"/>
        </w:rPr>
        <w:t xml:space="preserve">data/results/figures/graphical_toc_panel_b.json</w:t>
      </w:r>
      <w:r>
        <w:t xml:space="preserve"> </w:t>
      </w:r>
      <w:r>
        <w:t xml:space="preserve">(three rows — log-scale speed bar, Mondrian coverage strip vs nominal</w:t>
      </w:r>
      <w:r>
        <w:t xml:space="preserve"> </w:t>
      </w:r>
      <w:r>
        <w:t xml:space="preserve">95 %, conformal OOD calibration). Rendered to SVG via</w:t>
      </w:r>
      <w:r>
        <w:t xml:space="preserve"> </w:t>
      </w:r>
      <w:r>
        <w:rPr>
          <w:rStyle w:val="VerbatimChar"/>
        </w:rPr>
        <w:t xml:space="preserve">scripts/render_echarts_svg.mjs</w:t>
      </w:r>
      <w:r>
        <w:t xml:space="preserve"> </w:t>
      </w:r>
      <w:r>
        <w:t xml:space="preserve">(Node + jsdom + ECharts SSR). Output:</w:t>
      </w:r>
      <w:r>
        <w:t xml:space="preserve"> </w:t>
      </w:r>
      <w:r>
        <w:rPr>
          <w:rStyle w:val="VerbatimChar"/>
        </w:rPr>
        <w:t xml:space="preserve">data/results/figures/graphical_toc_panel_b.svg</w:t>
      </w:r>
      <w:r>
        <w:t xml:space="preserve">.</w:t>
      </w:r>
    </w:p>
    <w:p>
      <w:pPr>
        <w:pStyle w:val="FirstParagraph"/>
      </w:pPr>
      <w:r>
        <w:t xml:space="preserve">Both renders use the</w:t>
      </w:r>
      <w:r>
        <w:t xml:space="preserve"> </w:t>
      </w:r>
      <w:r>
        <w:rPr>
          <w:bCs/>
          <w:b/>
        </w:rPr>
        <w:t xml:space="preserve">Okabe-Ito colour-blind-safe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#0072B2</w:t>
      </w:r>
      <w:r>
        <w:t xml:space="preserve"> </w:t>
      </w:r>
      <w:r>
        <w:t xml:space="preserve">sky blue /</w:t>
      </w:r>
      <w:r>
        <w:t xml:space="preserve"> </w:t>
      </w:r>
      <w:r>
        <w:rPr>
          <w:rStyle w:val="VerbatimChar"/>
        </w:rPr>
        <w:t xml:space="preserve">#D55E00</w:t>
      </w:r>
      <w:r>
        <w:t xml:space="preserve"> </w:t>
      </w:r>
      <w:r>
        <w:t xml:space="preserve">vermillion /</w:t>
      </w:r>
      <w:r>
        <w:t xml:space="preserve"> </w:t>
      </w:r>
      <w:r>
        <w:rPr>
          <w:rStyle w:val="VerbatimChar"/>
        </w:rPr>
        <w:t xml:space="preserve">#009E73</w:t>
      </w:r>
      <w:r>
        <w:t xml:space="preserve"> </w:t>
      </w:r>
      <w:r>
        <w:t xml:space="preserve">bluish-green); the only</w:t>
      </w:r>
      <w:r>
        <w:t xml:space="preserve"> </w:t>
      </w:r>
      <w:r>
        <w:t xml:space="preserve">greyscale (</w:t>
      </w:r>
      <w:r>
        <w:rPr>
          <w:rStyle w:val="VerbatimChar"/>
        </w:rPr>
        <w:t xml:space="preserve">#999</w:t>
      </w:r>
      <w:r>
        <w:t xml:space="preserve">) is reference / threshold lines, never categorical</w:t>
      </w:r>
      <w:r>
        <w:t xml:space="preserve"> </w:t>
      </w:r>
      <w:r>
        <w:t xml:space="preserve">encoding — compliant with the IJNMBE</w:t>
      </w:r>
      <w:r>
        <w:t xml:space="preserve"> </w:t>
      </w:r>
      <w:r>
        <w:t xml:space="preserve">“</w:t>
      </w:r>
      <w:r>
        <w:t xml:space="preserve">no tints</w:t>
      </w:r>
      <w:r>
        <w:t xml:space="preserve">”</w:t>
      </w:r>
      <w:r>
        <w:t xml:space="preserve"> </w:t>
      </w:r>
      <w:r>
        <w:t xml:space="preserve">rule.</w:t>
      </w:r>
    </w:p>
    <w:p>
      <w:pPr>
        <w:pStyle w:val="BodyText"/>
      </w:pPr>
      <w:r>
        <w:rPr>
          <w:bCs/>
          <w:b/>
        </w:rPr>
        <w:t xml:space="preserve">Final composite step (now automated):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scripts/build_graphical_toc.py        </w:t>
      </w:r>
      <w:r>
        <w:rPr>
          <w:rStyle w:val="CommentTok"/>
        </w:rPr>
        <w:t xml:space="preserve"># Panel sources + per-panel SVGs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scripts/composite_graphical_toc.py    </w:t>
      </w:r>
      <w:r>
        <w:rPr>
          <w:rStyle w:val="CommentTok"/>
        </w:rPr>
        <w:t xml:space="preserve"># Master SVG + PDF + PNG @ 300 dpi</w:t>
      </w:r>
    </w:p>
    <w:p>
      <w:pPr>
        <w:pStyle w:val="FirstParagraph"/>
      </w:pPr>
      <w:r>
        <w:t xml:space="preserve">The composite script (</w:t>
      </w:r>
      <w:r>
        <w:rPr>
          <w:rStyle w:val="VerbatimChar"/>
        </w:rPr>
        <w:t xml:space="preserve">scripts/composite_graphical_toc.py</w:t>
      </w:r>
      <w:r>
        <w:t xml:space="preserve">) places Panel</w:t>
      </w:r>
      <w:r>
        <w:t xml:space="preserve"> </w:t>
      </w:r>
      <w:r>
        <w:t xml:space="preserve">A on the left, Panel B on the right, and a title strip at the bottom on</w:t>
      </w:r>
      <w:r>
        <w:t xml:space="preserve"> </w:t>
      </w:r>
      <w:r>
        <w:t xml:space="preserve">a 1500 × 900 px (5:3) master canvas. Outputs: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data/results/figures/graphical_toc.svg</w:t>
      </w:r>
      <w:r>
        <w:t xml:space="preserve"> </w:t>
      </w:r>
      <w:r>
        <w:t xml:space="preserve">— master SVG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data/results/figures/graphical_toc.pdf</w:t>
      </w:r>
      <w:r>
        <w:t xml:space="preserve"> </w:t>
      </w:r>
      <w:r>
        <w:t xml:space="preserve">— vector PDF (Wiley-preferred)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data/results/figures/graphical_toc.png</w:t>
      </w:r>
      <w:r>
        <w:t xml:space="preserve"> </w:t>
      </w:r>
      <w:r>
        <w:t xml:space="preserve">— 4687 × 2812 px raster @ 300 dpi</w:t>
      </w:r>
    </w:p>
    <w:p>
      <w:pPr>
        <w:pStyle w:val="FirstParagraph"/>
      </w:pPr>
      <w:r>
        <w:t xml:space="preserve">Implementation notes:</w:t>
      </w:r>
    </w:p>
    <w:p>
      <w:pPr>
        <w:numPr>
          <w:ilvl w:val="0"/>
          <w:numId w:val="1004"/>
        </w:numPr>
        <w:pStyle w:val="Compact"/>
      </w:pPr>
      <w:r>
        <w:t xml:space="preserve">Panel A is hand-coded inside</w:t>
      </w:r>
      <w:r>
        <w:t xml:space="preserve"> </w:t>
      </w:r>
      <w:r>
        <w:rPr>
          <w:rStyle w:val="VerbatimChar"/>
        </w:rPr>
        <w:t xml:space="preserve">composite_graphical_toc.py</w:t>
      </w:r>
      <w:r>
        <w:t xml:space="preserve"> </w:t>
      </w:r>
      <w:r>
        <w:t xml:space="preserve">(4 stacked</w:t>
      </w:r>
      <w:r>
        <w:t xml:space="preserve"> </w:t>
      </w:r>
      <w:r>
        <w:t xml:space="preserve">rectangles + arrows + text labels) rather than embedded from the</w:t>
      </w:r>
      <w:r>
        <w:t xml:space="preserve"> </w:t>
      </w:r>
      <w:r>
        <w:t xml:space="preserve">Mermaid SVG. The Mermaid render contains a</w:t>
      </w:r>
      <w:r>
        <w:t xml:space="preserve"> </w:t>
      </w:r>
      <w:r>
        <w:rPr>
          <w:rStyle w:val="VerbatimChar"/>
        </w:rPr>
        <w:t xml:space="preserve">&lt;style&gt;@import …&lt;/style&gt;</w:t>
      </w:r>
      <w:r>
        <w:t xml:space="preserve"> </w:t>
      </w:r>
      <w:r>
        <w:t xml:space="preserve">rule for fonts that does not survive cairosvg compositing — a</w:t>
      </w:r>
      <w:r>
        <w:t xml:space="preserve"> </w:t>
      </w:r>
      <w:r>
        <w:t xml:space="preserve">dedicated hand-coded panel preserves all text in the final PDF and</w:t>
      </w:r>
      <w:r>
        <w:t xml:space="preserve"> </w:t>
      </w:r>
      <w:r>
        <w:t xml:space="preserve">PNG and lets the colour/typography stay perfectly consistent with the</w:t>
      </w:r>
      <w:r>
        <w:t xml:space="preserve"> </w:t>
      </w:r>
      <w:r>
        <w:t xml:space="preserve">Okabe-Ito palette and the IJNMBE</w:t>
      </w:r>
      <w:r>
        <w:t xml:space="preserve"> </w:t>
      </w:r>
      <w:r>
        <w:t xml:space="preserve">“</w:t>
      </w:r>
      <w:r>
        <w:t xml:space="preserve">no tints</w:t>
      </w:r>
      <w:r>
        <w:t xml:space="preserve">”</w:t>
      </w:r>
      <w:r>
        <w:t xml:space="preserve"> </w:t>
      </w:r>
      <w:r>
        <w:t xml:space="preserve">rule.</w:t>
      </w:r>
    </w:p>
    <w:p>
      <w:pPr>
        <w:numPr>
          <w:ilvl w:val="0"/>
          <w:numId w:val="1004"/>
        </w:numPr>
        <w:pStyle w:val="Compact"/>
      </w:pPr>
      <w:r>
        <w:t xml:space="preserve">Panel B is the Node-rendered ECharts SVG, embedded as an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child of the master via inline XML; per-bar labels are set via the</w:t>
      </w:r>
      <w:r>
        <w:t xml:space="preserve"> </w:t>
      </w:r>
      <w:r>
        <w:t xml:space="preserve">ECharts</w:t>
      </w:r>
      <w:r>
        <w:t xml:space="preserve"> </w:t>
      </w:r>
      <w:r>
        <w:rPr>
          <w:rStyle w:val="VerbatimChar"/>
        </w:rPr>
        <w:t xml:space="preserve">data: [{value, label, …}]</w:t>
      </w:r>
      <w:r>
        <w:t xml:space="preserve"> </w:t>
      </w:r>
      <w:r>
        <w:t xml:space="preserve">form (so the surrogate and CGEM</w:t>
      </w:r>
      <w:r>
        <w:t xml:space="preserve"> </w:t>
      </w:r>
      <w:r>
        <w:t xml:space="preserve">bars carry distinct, accurate annotations).</w:t>
      </w:r>
    </w:p>
    <w:p>
      <w:pPr>
        <w:numPr>
          <w:ilvl w:val="0"/>
          <w:numId w:val="1004"/>
        </w:numPr>
        <w:pStyle w:val="Compact"/>
      </w:pPr>
      <w:r>
        <w:t xml:space="preserve">Final render path:</w:t>
      </w:r>
      <w:r>
        <w:t xml:space="preserve"> </w:t>
      </w:r>
      <w:r>
        <w:rPr>
          <w:rStyle w:val="VerbatimChar"/>
        </w:rPr>
        <w:t xml:space="preserve">cairosvg.svg2pdf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cairosvg.svg2png</w:t>
      </w:r>
      <w:r>
        <w:t xml:space="preserve"> </w:t>
      </w:r>
      <w:r>
        <w:t xml:space="preserve">at 300</w:t>
      </w:r>
      <w:r>
        <w:t xml:space="preserve"> </w:t>
      </w:r>
      <w:r>
        <w:t xml:space="preserve">dpi; no Inkscape / GUI step required.</w:t>
      </w:r>
    </w:p>
    <w:p>
      <w:pPr>
        <w:pStyle w:val="FirstParagraph"/>
      </w:pPr>
      <w:r>
        <w:rPr>
          <w:bCs/>
          <w:b/>
        </w:rPr>
        <w:t xml:space="preserve">Status (2026-05-01):</w:t>
      </w:r>
      <w:r>
        <w:t xml:space="preserve"> </w:t>
      </w:r>
      <w:r>
        <w:rPr>
          <w:bCs/>
          <w:b/>
        </w:rPr>
        <w:t xml:space="preserve">F4 closed.</w:t>
      </w:r>
      <w:r>
        <w:t xml:space="preserve"> </w:t>
      </w:r>
      <w:r>
        <w:t xml:space="preserve">The final composite is rendered</w:t>
      </w:r>
      <w:r>
        <w:t xml:space="preserve"> </w:t>
      </w:r>
      <w:r>
        <w:t xml:space="preserve">and committed at</w:t>
      </w:r>
      <w:r>
        <w:t xml:space="preserve"> </w:t>
      </w:r>
      <w:r>
        <w:rPr>
          <w:rStyle w:val="VerbatimChar"/>
        </w:rPr>
        <w:t xml:space="preserve">data/results/figures/graphical_toc.{svg,pdf,png}</w:t>
      </w:r>
      <w:r>
        <w:t xml:space="preserve"> </w:t>
      </w:r>
      <w:r>
        <w:t xml:space="preserve">and</w:t>
      </w:r>
      <w:r>
        <w:t xml:space="preserve"> </w:t>
      </w:r>
      <w:r>
        <w:t xml:space="preserve">is portal-ready. Upload the PDF (or PNG fallback) at the Wiley CNM</w:t>
      </w:r>
      <w:r>
        <w:t xml:space="preserve"> </w:t>
      </w:r>
      <w:r>
        <w:t xml:space="preserve">portal under the</w:t>
      </w:r>
      <w:r>
        <w:t xml:space="preserve"> </w:t>
      </w:r>
      <w:r>
        <w:t xml:space="preserve">“</w:t>
      </w:r>
      <w:r>
        <w:t xml:space="preserve">Graphical Table of Contents</w:t>
      </w:r>
      <w:r>
        <w:t xml:space="preserve">”</w:t>
      </w:r>
      <w:r>
        <w:t xml:space="preserve"> </w:t>
      </w:r>
      <w:r>
        <w:t xml:space="preserve">designation. The</w:t>
      </w:r>
      <w:r>
        <w:t xml:space="preserve"> </w:t>
      </w:r>
      <w:r>
        <w:t xml:space="preserve">mini-abstract text in item (a) above is finalised and ready for the</w:t>
      </w:r>
      <w:r>
        <w:t xml:space="preserve"> </w:t>
      </w:r>
      <w:r>
        <w:t xml:space="preserve">“</w:t>
      </w:r>
      <w:r>
        <w:t xml:space="preserve">Graphical Abstract</w:t>
      </w:r>
      <w:r>
        <w:t xml:space="preserve">”</w:t>
      </w:r>
      <w:r>
        <w:t xml:space="preserve"> </w:t>
      </w:r>
      <w:r>
        <w:t xml:space="preserve">portal field.</w:t>
      </w:r>
    </w:p>
    <w:bookmarkEnd w:id="21"/>
    <w:bookmarkEnd w:id="22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2026-05-12T21:36:42Z</dcterms:created>
  <dcterms:modified xsi:type="dcterms:W3CDTF">2026-05-12T21:36:42Z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