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461104a3c7b8b513d02703ad4262304dc594a65"/>
    <w:p>
      <w:pPr>
        <w:pStyle w:val="Heading1"/>
      </w:pPr>
      <w:r>
        <w:t xml:space="preserve">Cover letter —</w:t>
      </w:r>
      <w:r>
        <w:t xml:space="preserve"> </w:t>
      </w:r>
      <w:r>
        <w:rPr>
          <w:iCs/>
          <w:i/>
        </w:rPr>
        <w:t xml:space="preserve">Biomedical Signal Processing and Control</w:t>
      </w:r>
      <w:r>
        <w:t xml:space="preserve"> </w:t>
      </w:r>
      <w:r>
        <w:t xml:space="preserve">(BSPC)</w:t>
      </w:r>
    </w:p>
    <w:p>
      <w:pPr>
        <w:pStyle w:val="FirstParagraph"/>
      </w:pPr>
      <w:r>
        <w:t xml:space="preserve">[Date at submission]</w:t>
      </w:r>
    </w:p>
    <w:p>
      <w:pPr>
        <w:pStyle w:val="BodyText"/>
      </w:pPr>
      <w:r>
        <w:t xml:space="preserve">Professor Panicos A. Kyriacou</w:t>
      </w:r>
      <w:r>
        <w:t xml:space="preserve"> </w:t>
      </w:r>
      <w:r>
        <w:t xml:space="preserve">Editor-in-Chief,</w:t>
      </w:r>
      <w:r>
        <w:t xml:space="preserve"> </w:t>
      </w:r>
      <w:r>
        <w:rPr>
          <w:iCs/>
          <w:i/>
        </w:rPr>
        <w:t xml:space="preserve">Biomedical Signal Processing and Control</w:t>
      </w:r>
      <w:r>
        <w:t xml:space="preserve"> </w:t>
      </w:r>
      <w:r>
        <w:t xml:space="preserve">School of Science and Technology, City University of London</w:t>
      </w:r>
      <w:r>
        <w:t xml:space="preserve"> </w:t>
      </w:r>
      <w:r>
        <w:t xml:space="preserve">Northampton Square, London EC1V 0HB, United Kingdom</w:t>
      </w:r>
    </w:p>
    <w:p>
      <w:pPr>
        <w:pStyle w:val="BodyText"/>
      </w:pPr>
      <w:r>
        <w:rPr>
          <w:iCs/>
          <w:i/>
        </w:rPr>
        <w:t xml:space="preserve">Submitted via Editorial Manager (https://submit.elsevier.com/BSPC)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Dear Professor Kyriacou,</w:t>
      </w:r>
    </w:p>
    <w:p>
      <w:pPr>
        <w:pStyle w:val="BodyText"/>
      </w:pPr>
      <w:r>
        <w:t xml:space="preserve">I am pleased to submit for your consideration a Full Paper entitled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Conformal machine-learning emulation and out-of-distribution detection for the FAA CAMI G-Effects mechanistic model of acceleration physiology</w:t>
      </w:r>
      <w:r>
        <w:rPr>
          <w:bCs/>
          <w:b/>
        </w:rPr>
        <w:t xml:space="preserve">”</w:t>
      </w:r>
      <w:r>
        <w:t xml:space="preserve"> </w:t>
      </w:r>
      <w:r>
        <w:t xml:space="preserve">by Diego Malpica, MD (sole author).</w:t>
      </w:r>
    </w:p>
    <w:p>
      <w:pPr>
        <w:pStyle w:val="BodyText"/>
      </w:pPr>
      <w:r>
        <w:rPr>
          <w:bCs/>
          <w:b/>
        </w:rPr>
        <w:t xml:space="preserve">Why BSPC.</w:t>
      </w:r>
      <w:r>
        <w:t xml:space="preserve"> </w:t>
      </w:r>
      <w:r>
        <w:t xml:space="preserve">This manuscript fits BSPC’s stated scope along the</w:t>
      </w:r>
      <w:r>
        <w:t xml:space="preserve"> </w:t>
      </w:r>
      <w:r>
        <w:rPr>
          <w:iCs/>
          <w:i/>
        </w:rPr>
        <w:t xml:space="preserve">biomedical signal processing</w:t>
      </w:r>
      <w:r>
        <w:t xml:space="preserve"> </w:t>
      </w:r>
      <w:r>
        <w:t xml:space="preserve">axis. The system under study, the FAA Civil Aerospace Medical Institute’s CGEM, is a validated Fortran ODE model that emits cerebrovascular and visual biosignals — cerebral blood flow (</w:t>
      </w:r>
      <w:r>
        <w:rPr>
          <w:rStyle w:val="VerbatimChar"/>
        </w:rPr>
        <w:t xml:space="preserve">c_bank</w:t>
      </w:r>
      <w:r>
        <w:t xml:space="preserve">), head-level arterial pressure (HLAP), retinal oxygen delivery, and visual-function indices (</w:t>
      </w:r>
      <w:r>
        <w:rPr>
          <w:rStyle w:val="VerbatimChar"/>
        </w:rPr>
        <w:t xml:space="preserve">f_vis</w:t>
      </w:r>
      <w:r>
        <w:t xml:space="preserve">,</w:t>
      </w:r>
      <w:r>
        <w:t xml:space="preserve"> </w:t>
      </w:r>
      <w:r>
        <w:rPr>
          <w:rStyle w:val="VerbatimChar"/>
        </w:rPr>
        <w:t xml:space="preserve">f_bo</w:t>
      </w:r>
      <w:r>
        <w:t xml:space="preserve">) — under sustained +Gz load. The contribution of the paper is an additive machine-learning layer wrapped around that mechanistic biosignal generator: a fast emulator with distribution-free conformal coverage on every biosignal channel and event-time scalar, plus an out-of-distribution (OOD) abstention guard on the operational input envelope. Both the methodology and the working program (open Python package, FastAPI signal-prediction service, Docker image) are intended for direct deployment in biomedical-signal monitoring and advisory contexts. The methodological neighbourhood — surrogate emulation of validated biomedical models with calibrated uncertainty — is well-represented in recent BSPC issues.</w:t>
      </w:r>
    </w:p>
    <w:p>
      <w:pPr>
        <w:pStyle w:val="BodyText"/>
      </w:pPr>
      <w:r>
        <w:rPr>
          <w:bCs/>
          <w:b/>
        </w:rPr>
        <w:t xml:space="preserve">What is known and what this study adds.</w:t>
      </w:r>
      <w:r>
        <w:t xml:space="preserve"> </w:t>
      </w:r>
      <w:r>
        <w:t xml:space="preserve">Validated mechanistic biosignal generators are computationally expensive, supply no calibrated uncertainty on the signals they emit, and accept out-of-distribution operational inputs without warning. Portela, Banga and Matabuena (2025,</w:t>
      </w:r>
      <w:r>
        <w:t xml:space="preserve"> </w:t>
      </w:r>
      <w:r>
        <w:rPr>
          <w:iCs/>
          <w:i/>
        </w:rPr>
        <w:t xml:space="preserve">PLOS Computational Biology</w:t>
      </w:r>
      <w:r>
        <w:t xml:space="preserve">) recently demonstrated the surrogate + conformal + OOD wrapping pattern on canonical biological dynamical systems. The present work extends that pattern into a specific regulatory aerospace-physiology setting and adds three operational refinements: (i) per-stratum (Mondrian) conformal calibration over operationally meaningful maneuver categories — rather than the more common pooled calibration — with under-coverage at low-event-rate strata declared transparently; (ii) heteroscedastic Conformalized Quantile Regression (Romano, Patterson and Candès 2019) for the long-tailed event-time target, restoring</w:t>
      </w:r>
      <w:r>
        <w:t xml:space="preserve"> </w:t>
      </w:r>
      <w:r>
        <w:rPr>
          <w:rStyle w:val="VerbatimChar"/>
        </w:rPr>
        <w:t xml:space="preserve">time_to_gloc_s</w:t>
      </w:r>
      <w:r>
        <w:t xml:space="preserve"> </w:t>
      </w:r>
      <w:r>
        <w:t xml:space="preserve">empirical coverage from 0.861 to 0.972 on n = 36 event-positive test rows (pre-registered as OSF amendment H5, 2026-05-06, before any test-set evaluation under the new layer); and (iii) a robust-Mahalanobis OOD detector calibrated by distribution-free conformal abstention over a 17-dimensional mixed numeric/categorical input space, providing a finite-sample operational in-envelope guarantee that does not assume Gaussianity of the score.</w:t>
      </w:r>
    </w:p>
    <w:p>
      <w:pPr>
        <w:pStyle w:val="BodyText"/>
      </w:pPr>
      <w:r>
        <w:rPr>
          <w:bCs/>
          <w:b/>
        </w:rPr>
        <w:t xml:space="preserve">Key empirical anchors</w:t>
      </w:r>
      <w:r>
        <w:t xml:space="preserve"> </w:t>
      </w:r>
      <w:r>
        <w:t xml:space="preserve">on the OSF-pre-registered held-out test split: conformal OOD calibration of 0.953 versus the nominal 0.95; conformal coverage within 5 percentage points of nominal 95 % on all five surrogate targets once the heteroscedastic CQR layer replaces the homoscedastic Mondrian baseline on</w:t>
      </w:r>
      <w:r>
        <w:t xml:space="preserve"> </w:t>
      </w:r>
      <w:r>
        <w:rPr>
          <w:rStyle w:val="VerbatimChar"/>
        </w:rPr>
        <w:t xml:space="preserve">time_to_gloc_s</w:t>
      </w:r>
      <w:r>
        <w:t xml:space="preserve">; classifier AUROC ≥ 0.996 (expected calibration error ≤ 0.014) across the three censored event targets; regressor R² = 0.82–0.90 on event-positive rows of censored targets and 0.94–1.00 on continuous targets; surrogate inference at ~50 µs per row versus ~9 ms for direct Fortran subprocess invocation. External validation against the archival centrifuge cohort of Whinnery and Forster (2013) — pre-registered as H6 — establishes a slow-onset bias δ̄ = +26.6 s [95 % CI +6.3, +52.1] at onset ≤ 0.5 G/s, with the surrogate in-bracket on every record at onset ≥ 1 G/s (the operationally relevant fighter and aerobatic regime).</w:t>
      </w:r>
    </w:p>
    <w:p>
      <w:pPr>
        <w:pStyle w:val="BodyText"/>
      </w:pPr>
      <w:r>
        <w:rPr>
          <w:bCs/>
          <w:b/>
        </w:rPr>
        <w:t xml:space="preserve">Generalisability and biosignal-control relevance.</w:t>
      </w:r>
      <w:r>
        <w:t xml:space="preserve"> </w:t>
      </w:r>
      <w:r>
        <w:t xml:space="preserve">The wrapping pattern (surrogate + conformal + OOD) is publisher-agnostic and is intended as a reference implementation for any validated ODE biomedical-signal generator. The accompanying FastAPI service exposes the wrapped signal-generation pipeline as an HTTP endpoint suitable for closed-loop monitoring and advisory prototypes; the Docker image reproduces the full validation protocol from</w:t>
      </w:r>
      <w:r>
        <w:t xml:space="preserve"> </w:t>
      </w:r>
      <w:r>
        <w:rPr>
          <w:rStyle w:val="VerbatimChar"/>
        </w:rPr>
        <w:t xml:space="preserve">docker run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Declarations.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Originality.</w:t>
      </w:r>
      <w:r>
        <w:t xml:space="preserve"> </w:t>
      </w:r>
      <w:r>
        <w:t xml:space="preserve">This manuscript reports original work that has not been published or accepted elsewhere and is not under concurrent consideration by another journal. It was previously submitted to the</w:t>
      </w:r>
      <w:r>
        <w:t xml:space="preserve"> </w:t>
      </w:r>
      <w:r>
        <w:rPr>
          <w:iCs/>
          <w:i/>
        </w:rPr>
        <w:t xml:space="preserve">International Journal for Numerical Methods in Biomedical Engineering</w:t>
      </w:r>
      <w:r>
        <w:t xml:space="preserve"> </w:t>
      </w:r>
      <w:r>
        <w:t xml:space="preserve">(manuscript 5977782), where it was desk-rejected on 2026-05-17 on scope grounds (IJNMBE updated Aims and Scope no longer accepts purely-ML papers on biomedical problems); the IJNMBE record is archived at</w:t>
      </w:r>
      <w:r>
        <w:t xml:space="preserve"> </w:t>
      </w:r>
      <w:r>
        <w:rPr>
          <w:rStyle w:val="VerbatimChar"/>
        </w:rPr>
        <w:t xml:space="preserve">manuscripts/_archive/ijnmbe/REJECTION.md</w:t>
      </w:r>
      <w:r>
        <w:t xml:space="preserve"> </w:t>
      </w:r>
      <w:r>
        <w:t xml:space="preserve">in the project repository.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Conflict of interest.</w:t>
      </w:r>
      <w:r>
        <w:t xml:space="preserve"> </w:t>
      </w:r>
      <w:r>
        <w:t xml:space="preserve">The author declares no conflicts of interest.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Funding.</w:t>
      </w:r>
      <w:r>
        <w:t xml:space="preserve"> </w:t>
      </w:r>
      <w:r>
        <w:t xml:space="preserve">This research received no external funding. All work was self-funded.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Ethical approval.</w:t>
      </w:r>
      <w:r>
        <w:t xml:space="preserve"> </w:t>
      </w:r>
      <w:r>
        <w:t xml:space="preserve">Not applicable — the present study uses synthetic data only. No human or animal subjects were studied.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Data and code availability.</w:t>
      </w:r>
      <w:r>
        <w:t xml:space="preserve"> </w:t>
      </w:r>
      <w:r>
        <w:t xml:space="preserve">Source code (MIT licence) is at</w:t>
      </w:r>
      <w:r>
        <w:t xml:space="preserve"> </w:t>
      </w:r>
      <w:r>
        <w:rPr>
          <w:rStyle w:val="VerbatimChar"/>
        </w:rPr>
        <w:t xml:space="preserve">https://github.com/strikerdlm/CAMI-Gz-Effects-Model-CGEM-</w:t>
      </w:r>
      <w:r>
        <w:t xml:space="preserve">; the synthetic dataset</w:t>
      </w:r>
      <w:r>
        <w:t xml:space="preserve"> </w:t>
      </w:r>
      <w:r>
        <w:rPr>
          <w:rStyle w:val="VerbatimChar"/>
        </w:rPr>
        <w:t xml:space="preserve">cgem_synthetic_v1.parquet</w:t>
      </w:r>
      <w:r>
        <w:t xml:space="preserve"> </w:t>
      </w:r>
      <w:r>
        <w:t xml:space="preserve">is archived under the project’s Zenodo deposit (DOI assigned at acceptance); a reproducibility Docker image is on GitHub Container Registry (GHCR). The OSF pre-registration (including the 2026-05-06 amendment for H5/H6) is at the project’s OSF page.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Software and program.</w:t>
      </w:r>
      <w:r>
        <w:t xml:space="preserve"> </w:t>
      </w:r>
      <w:r>
        <w:t xml:space="preserve">The CGEM-extension Python package (</w:t>
      </w:r>
      <w:r>
        <w:rPr>
          <w:rStyle w:val="VerbatimChar"/>
        </w:rPr>
        <w:t xml:space="preserve">cgem_ext</w:t>
      </w:r>
      <w:r>
        <w:t xml:space="preserve">), FastAPI service, and Docker image are released as production-runnable artifacts under MIT licence. A reference deployment is exercisable via</w:t>
      </w:r>
      <w:r>
        <w:t xml:space="preserve"> </w:t>
      </w:r>
      <w:r>
        <w:rPr>
          <w:rStyle w:val="VerbatimChar"/>
        </w:rPr>
        <w:t xml:space="preserve">docker run ghcr.io/strikerdlm/cami-gz-effects-model-cgem-:v0.1.0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Suggested reviewers.</w:t>
      </w:r>
      <w:r>
        <w:t xml:space="preserve"> </w:t>
      </w:r>
      <w:r>
        <w:t xml:space="preserve">Five candidates with verified institutional emails are listed in</w:t>
      </w:r>
      <w:r>
        <w:t xml:space="preserve"> </w:t>
      </w:r>
      <w:r>
        <w:rPr>
          <w:rStyle w:val="VerbatimChar"/>
        </w:rPr>
        <w:t xml:space="preserve">suggested_reviewers_bspc.md</w:t>
      </w:r>
      <w:r>
        <w:t xml:space="preserve"> </w:t>
      </w:r>
      <w:r>
        <w:t xml:space="preserve">(uploaded as portal entries, per BSPC submission convention). None has co-authored with the corresponding author in the past three years; none shares an institution with the author; none is on the current BSPC editorial board.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Preprint.</w:t>
      </w:r>
      <w:r>
        <w:t xml:space="preserve"> </w:t>
      </w:r>
      <w:r>
        <w:t xml:space="preserve">No preprint is currently posted. If posted on arXiv prior to portal entry, this declaration will be updated to cite the arXiv URL under a non-exclusive licence.</w:t>
      </w:r>
    </w:p>
    <w:p>
      <w:pPr>
        <w:pStyle w:val="FirstParagraph"/>
      </w:pPr>
      <w:r>
        <w:t xml:space="preserve">I confirm that this manuscript has not been published previously and is not under consideration at another journal. Thank you and the editorial board for your consideration.</w:t>
      </w:r>
    </w:p>
    <w:p>
      <w:pPr>
        <w:pStyle w:val="BodyText"/>
      </w:pPr>
      <w:r>
        <w:t xml:space="preserve">Sincerely,</w:t>
      </w:r>
    </w:p>
    <w:p>
      <w:pPr>
        <w:pStyle w:val="BodyText"/>
      </w:pPr>
      <w:r>
        <w:t xml:space="preserve">Diego Malpica, MD</w:t>
      </w:r>
      <w:r>
        <w:t xml:space="preserve"> </w:t>
      </w:r>
      <w:r>
        <w:t xml:space="preserve">Direction of Aerospace Medicine, Aerospace Scientific Department,</w:t>
      </w:r>
      <w:r>
        <w:t xml:space="preserve"> </w:t>
      </w:r>
      <w:r>
        <w:t xml:space="preserve">Colombian Aerospace Force (Fuerza Aeroespacial Colombiana, FAC),</w:t>
      </w:r>
      <w:r>
        <w:t xml:space="preserve"> </w:t>
      </w:r>
      <w:r>
        <w:t xml:space="preserve">Bogotá, Colombia.</w:t>
      </w:r>
      <w:r>
        <w:t xml:space="preserve"> </w:t>
      </w:r>
      <w:r>
        <w:t xml:space="preserve">ORCID:</w:t>
      </w:r>
      <w:r>
        <w:t xml:space="preserve"> </w:t>
      </w:r>
      <w:hyperlink r:id="rId20">
        <w:r>
          <w:rPr>
            <w:rStyle w:val="Hyperlink"/>
          </w:rPr>
          <w:t xml:space="preserve">0000-0002-2257-4940</w:t>
        </w:r>
      </w:hyperlink>
      <w:r>
        <w:t xml:space="preserve"> </w:t>
      </w:r>
      <w:hyperlink r:id="rId21">
        <w:r>
          <w:rPr>
            <w:rStyle w:val="Hyperlink"/>
          </w:rPr>
          <w:t xml:space="preserve">dlmalpica@yahoo.com</w:t>
        </w:r>
      </w:hyperlink>
    </w:p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orcid.org/0000-0002-2257-4940" TargetMode="External" /><Relationship Type="http://schemas.openxmlformats.org/officeDocument/2006/relationships/hyperlink" Id="rId21" Target="mailto:dlmalpica@yahoo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orcid.org/0000-0002-2257-4940" TargetMode="External" /><Relationship Type="http://schemas.openxmlformats.org/officeDocument/2006/relationships/hyperlink" Id="rId21" Target="mailto:dlmalpica@yahoo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2026-05-17T13:26:24Z</dcterms:created>
  <dcterms:modified xsi:type="dcterms:W3CDTF">2026-05-17T13:26:24Z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