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-bspc-submission"/>
    <w:p>
      <w:pPr>
        <w:pStyle w:val="Heading1"/>
      </w:pPr>
      <w:r>
        <w:t xml:space="preserve">Highlights — BSPC submission</w:t>
      </w:r>
    </w:p>
    <w:p>
      <w:pPr>
        <w:numPr>
          <w:ilvl w:val="0"/>
          <w:numId w:val="1001"/>
        </w:numPr>
        <w:pStyle w:val="Compact"/>
      </w:pPr>
      <w:r>
        <w:t xml:space="preserve">Conformal+OOD wrapper preserves a validated Fortran ODE physiological model.</w:t>
      </w:r>
    </w:p>
    <w:p>
      <w:pPr>
        <w:numPr>
          <w:ilvl w:val="0"/>
          <w:numId w:val="1001"/>
        </w:numPr>
        <w:pStyle w:val="Compact"/>
      </w:pPr>
      <w:r>
        <w:t xml:space="preserve">Mondrian-stratified CQR restores time_to_gloc_s coverage from 0.861 to 0.972.</w:t>
      </w:r>
    </w:p>
    <w:p>
      <w:pPr>
        <w:numPr>
          <w:ilvl w:val="0"/>
          <w:numId w:val="1001"/>
        </w:numPr>
        <w:pStyle w:val="Compact"/>
      </w:pPr>
      <w:r>
        <w:t xml:space="preserve">Distribution-free Mahalanobis conformal abstention guards 17-feature inputs.</w:t>
      </w:r>
    </w:p>
    <w:p>
      <w:pPr>
        <w:numPr>
          <w:ilvl w:val="0"/>
          <w:numId w:val="1001"/>
        </w:numPr>
        <w:pStyle w:val="Compact"/>
      </w:pPr>
      <w:r>
        <w:t xml:space="preserve">Surrogate emulates CGEM biosignals at ~50 µs/row vs ~9 ms direct invocation.</w:t>
      </w:r>
    </w:p>
    <w:p>
      <w:pPr>
        <w:numPr>
          <w:ilvl w:val="0"/>
          <w:numId w:val="1001"/>
        </w:numPr>
        <w:pStyle w:val="Compact"/>
      </w:pPr>
      <w:r>
        <w:t xml:space="preserve">External H6 validation: in-bracket at onset ≥ 1 G/s (fighter/aerobatic regime).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2026-05-17T13:26:24Z</dcterms:created>
  <dcterms:modified xsi:type="dcterms:W3CDTF">2026-05-17T13:26:24Z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