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b7e3bdf790288532a7533b71f5df5d1001d746"/>
    <w:p>
      <w:pPr>
        <w:pStyle w:val="Heading1"/>
      </w:pPr>
      <w:r>
        <w:t xml:space="preserve">Supplementary Material for</w:t>
      </w:r>
      <w:r>
        <w:t xml:space="preserve"> </w:t>
      </w:r>
      <w:r>
        <w:t xml:space="preserve">“</w:t>
      </w:r>
      <w:r>
        <w:t xml:space="preserve">Conformal machine-learning emulation and out-of-distribution detection for the FAA CAMI G-Effects mechanistic model of acceleration physiology</w:t>
      </w:r>
      <w:r>
        <w:t xml:space="preserve">”</w:t>
      </w:r>
    </w:p>
    <w:p>
      <w:pPr>
        <w:pStyle w:val="FirstParagraph"/>
      </w:pPr>
      <w:r>
        <w:t xml:space="preserve">This document lists every supplementary item delivered with the BSPC submission. Each item is uploaded as a separate file under the</w:t>
      </w:r>
      <w:r>
        <w:t xml:space="preserve"> </w:t>
      </w:r>
      <w:r>
        <w:t xml:space="preserve">“</w:t>
      </w:r>
      <w:r>
        <w:t xml:space="preserve">Supplementary Material</w:t>
      </w:r>
      <w:r>
        <w:t xml:space="preserve">”</w:t>
      </w:r>
      <w:r>
        <w:t xml:space="preserve"> </w:t>
      </w:r>
      <w:r>
        <w:t xml:space="preserve">category in Editorial Manager, named per the Elsevier convention (</w:t>
      </w:r>
      <w:r>
        <w:rPr>
          <w:rStyle w:val="VerbatimChar"/>
        </w:rPr>
        <w:t xml:space="preserve">Fig_S&lt;n&gt;.&lt;ext&gt;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Table_S&lt;n&gt;.&lt;ext&gt;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Appendix_S&lt;n&gt;.&lt;ext&gt;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Data_S&lt;n&gt;.&lt;ext&gt;</w:t>
      </w:r>
      <w:r>
        <w:t xml:space="preserve">). This captions file is uploaded first.</w:t>
      </w:r>
    </w:p>
    <w:bookmarkStart w:id="20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Cs/>
          <w:b/>
        </w:rPr>
        <w:t xml:space="preserve">Table S1.</w:t>
      </w:r>
      <w:r>
        <w:t xml:space="preserve"> </w:t>
      </w:r>
      <w:r>
        <w:t xml:space="preserve">RandomForest baseline regressor performance on the held-out test split, alongside the XGBoost surrogate hyperparameter table for the five surrogate targets.</w:t>
      </w:r>
    </w:p>
    <w:p>
      <w:pPr>
        <w:pStyle w:val="BodyText"/>
      </w:pPr>
      <w:r>
        <w:rPr>
          <w:bCs/>
          <w:b/>
        </w:rPr>
        <w:t xml:space="preserve">Table S2.</w:t>
      </w:r>
      <w:r>
        <w:t xml:space="preserve"> </w:t>
      </w:r>
      <w:r>
        <w:t xml:space="preserve">Per-stratum Mondrian conformal coverage on the held-out test split, with finite-sample-corrected Clopper–Pearson 95 % exact binomial confidence intervals per cell. The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regressor is reported both under the homoscedastic Mondrian baseline (rejected by H5 pre-registration) and under the heteroscedastic CQR layer (primary, OSF-amendment H5).</w:t>
      </w:r>
    </w:p>
    <w:p>
      <w:pPr>
        <w:pStyle w:val="BodyText"/>
      </w:pPr>
      <w:r>
        <w:rPr>
          <w:bCs/>
          <w:b/>
        </w:rPr>
        <w:t xml:space="preserve">Table S3.</w:t>
      </w:r>
      <w:r>
        <w:t xml:space="preserve"> </w:t>
      </w:r>
      <w:r>
        <w:t xml:space="preserve">Second-order Sobol interaction indices (S₂) for all feature pairs across the five surrogate targets, with 95 % bootstrap confidence intervals.</w:t>
      </w:r>
    </w:p>
    <w:bookmarkEnd w:id="20"/>
    <w:bookmarkStart w:id="21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Cs/>
          <w:b/>
        </w:rPr>
        <w:t xml:space="preserve">Fig. S1.</w:t>
      </w:r>
      <w:r>
        <w:t xml:space="preserve"> </w:t>
      </w:r>
      <w:r>
        <w:t xml:space="preserve">SHAP TreeExplainer feature-importance ranking across the five surrogate targets, computed on the held-out test split. Bars are sorted by mean absolute SHAP value per feature; targets are colour-coded per the legend.</w:t>
      </w:r>
    </w:p>
    <w:p>
      <w:pPr>
        <w:pStyle w:val="BodyText"/>
      </w:pPr>
      <w:r>
        <w:rPr>
          <w:bCs/>
          <w:b/>
        </w:rPr>
        <w:t xml:space="preserve">Fig. S2.</w:t>
      </w:r>
      <w:r>
        <w:t xml:space="preserve"> </w:t>
      </w:r>
      <w:r>
        <w:t xml:space="preserve">Morris Elementary Effects μ*–σ scatter for the nine continuous input features across the five surrogate targets, computed on the surrogate emulator. High μ* indicates strong global influence; high σ indicates non-linear or interactive influence.</w:t>
      </w:r>
    </w:p>
    <w:bookmarkEnd w:id="21"/>
    <w:bookmarkStart w:id="22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Cs/>
          <w:b/>
        </w:rPr>
        <w:t xml:space="preserve">Appendix S1.</w:t>
      </w:r>
      <w:r>
        <w:t xml:space="preserve"> </w:t>
      </w:r>
      <w:r>
        <w:t xml:space="preserve">Dataset datasheet for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, following the framework of Gebru et al. (2018). Documents provenance, motivation, composition, collection process, preprocessing, uses, distribution, and maintenance.</w:t>
      </w:r>
    </w:p>
    <w:p>
      <w:pPr>
        <w:pStyle w:val="BodyText"/>
      </w:pPr>
      <w:r>
        <w:rPr>
          <w:bCs/>
          <w:b/>
        </w:rPr>
        <w:t xml:space="preserve">Appendix S2.</w:t>
      </w:r>
      <w:r>
        <w:t xml:space="preserve"> </w:t>
      </w:r>
      <w:r>
        <w:t xml:space="preserve">TRIPOD-AI reporting-guideline compliance checklist for the present manuscript (Collins et al., 2024).</w:t>
      </w:r>
    </w:p>
    <w:p>
      <w:pPr>
        <w:pStyle w:val="BodyText"/>
      </w:pPr>
      <w:r>
        <w:rPr>
          <w:bCs/>
          <w:b/>
        </w:rPr>
        <w:t xml:space="preserve">Appendix S3.</w:t>
      </w:r>
      <w:r>
        <w:t xml:space="preserve"> </w:t>
      </w:r>
      <w:r>
        <w:t xml:space="preserve">Model card for the XGBoost surrogate emulator (per Mitchell et al., 2019). Includes intended use, training data summary, evaluation, ethical considerations, and caveats.</w:t>
      </w:r>
    </w:p>
    <w:p>
      <w:pPr>
        <w:pStyle w:val="BodyText"/>
      </w:pPr>
      <w:r>
        <w:rPr>
          <w:bCs/>
          <w:b/>
        </w:rPr>
        <w:t xml:space="preserve">Appendix S4.</w:t>
      </w:r>
      <w:r>
        <w:t xml:space="preserve"> </w:t>
      </w:r>
      <w:r>
        <w:t xml:space="preserve">Model card for the Mahalanobis + conformal-abstention OOD detector. Same template as Appendix S3.</w:t>
      </w:r>
    </w:p>
    <w:p>
      <w:pPr>
        <w:pStyle w:val="BodyText"/>
      </w:pPr>
      <w:r>
        <w:rPr>
          <w:bCs/>
          <w:b/>
        </w:rPr>
        <w:t xml:space="preserve">Appendix S5.</w:t>
      </w:r>
      <w:r>
        <w:t xml:space="preserve"> </w:t>
      </w:r>
      <w:r>
        <w:t xml:space="preserve">Frozen OSF pre-registration document. Hypotheses H1–H4, search spaces, split indices, success thresholds — all locked at OSF posting time before any test-set evaluation.</w:t>
      </w:r>
    </w:p>
    <w:p>
      <w:pPr>
        <w:pStyle w:val="BodyText"/>
      </w:pPr>
      <w:r>
        <w:rPr>
          <w:bCs/>
          <w:b/>
        </w:rPr>
        <w:t xml:space="preserve">Appendix S6.</w:t>
      </w:r>
      <w:r>
        <w:t xml:space="preserve"> </w:t>
      </w:r>
      <w:r>
        <w:t xml:space="preserve">OSF amendment dated 2026-05-06, adding hypotheses H5 (heteroscedastic CQR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) and H6 (archival external validation against Whinnery and Forster 2013), filed before any test-set evaluation under the new hypotheses.</w:t>
      </w:r>
    </w:p>
    <w:bookmarkEnd w:id="22"/>
    <w:bookmarkStart w:id="23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rPr>
          <w:bCs/>
          <w:b/>
        </w:rPr>
        <w:t xml:space="preserve">Data S1.</w:t>
      </w:r>
      <w:r>
        <w:t xml:space="preserve"> </w:t>
      </w:r>
      <w:r>
        <w:t xml:space="preserve">OSF-frozen hyperparameter search spaces for the Optuna stratified 5-fold cross-validation tuning runs (JSON). Locked at OSF posting time.</w:t>
      </w:r>
    </w:p>
    <w:p>
      <w:pPr>
        <w:pStyle w:val="BodyText"/>
      </w:pPr>
      <w:r>
        <w:rPr>
          <w:bCs/>
          <w:b/>
        </w:rPr>
        <w:t xml:space="preserve">Data S2.</w:t>
      </w:r>
      <w:r>
        <w:t xml:space="preserve"> </w:t>
      </w:r>
      <w:r>
        <w:t xml:space="preserve">OSF-frozen train/validation/test split indices (Parquet). Master seed 42; stratified by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 S3.</w:t>
      </w:r>
      <w:r>
        <w:t xml:space="preserve"> </w:t>
      </w:r>
      <w:r>
        <w:t xml:space="preserve">Sobol first-order (S₁) and total-order (ST) indices for the nine input features across the five surrogate targets, with 95 % bootstrap confidence intervals (CSV).</w:t>
      </w:r>
    </w:p>
    <w:p>
      <w:pPr>
        <w:pStyle w:val="BodyText"/>
      </w:pPr>
      <w:r>
        <w:rPr>
          <w:bCs/>
          <w:b/>
        </w:rPr>
        <w:t xml:space="preserve">Data S4.</w:t>
      </w:r>
      <w:r>
        <w:t xml:space="preserve"> </w:t>
      </w:r>
      <w:r>
        <w:t xml:space="preserve">Sobol second-order (S₂) interaction indices for all feature pairs across the five surrogate targets (CSV).</w:t>
      </w:r>
    </w:p>
    <w:p>
      <w:pPr>
        <w:pStyle w:val="BodyText"/>
      </w:pPr>
      <w:r>
        <w:rPr>
          <w:bCs/>
          <w:b/>
        </w:rPr>
        <w:t xml:space="preserve">Data S5.</w:t>
      </w:r>
      <w:r>
        <w:t xml:space="preserve"> </w:t>
      </w:r>
      <w:r>
        <w:t xml:space="preserve">Morris Elementary Effects μ, μ*, σ for the nine input features across the five surrogate targets (CSV).</w:t>
      </w:r>
    </w:p>
    <w:p>
      <w:pPr>
        <w:pStyle w:val="BodyText"/>
      </w:pPr>
      <w:r>
        <w:rPr>
          <w:bCs/>
          <w:b/>
        </w:rPr>
        <w:t xml:space="preserve">Data S6.</w:t>
      </w:r>
      <w:r>
        <w:t xml:space="preserve"> </w:t>
      </w:r>
      <w:r>
        <w:t xml:space="preserve">Side-by-side CQR-vs-Mondrian conformal coverage comparison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(JSON). Per-stratum coverage rates and Clopper–Pearson 95 % exact CIs for both the homoscedastic Mondrian baseline and the heteroscedastic CQR layer.</w:t>
      </w:r>
    </w:p>
    <w:p>
      <w:pPr>
        <w:pStyle w:val="BodyText"/>
      </w:pPr>
      <w:r>
        <w:rPr>
          <w:bCs/>
          <w:b/>
        </w:rPr>
        <w:t xml:space="preserve">Data S7.</w:t>
      </w:r>
      <w:r>
        <w:t xml:space="preserve"> </w:t>
      </w:r>
      <w:r>
        <w:t xml:space="preserve">H6 archival-validation discrepancy diagnostics against the Whinnery &amp; Forster (2013) Phase A cohort (JSON). Per-record predicted vs observed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, conformal bracket bounds, in-bracket flags, and the bootstrap distribution of the mean discrepancy δ̄.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2026-05-17T13:26:41Z</dcterms:created>
  <dcterms:modified xsi:type="dcterms:W3CDTF">2026-05-17T13:26:41Z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