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atasheet-cgem_synthetic_v1"/>
    <w:p>
      <w:pPr>
        <w:pStyle w:val="Heading1"/>
      </w:pPr>
      <w:r>
        <w:t xml:space="preserve">Datasheet —</w:t>
      </w:r>
      <w:r>
        <w:t xml:space="preserve"> </w:t>
      </w:r>
      <w:r>
        <w:rPr>
          <w:rStyle w:val="VerbatimChar"/>
        </w:rPr>
        <w:t xml:space="preserve">cgem_synthetic_v1</w:t>
      </w:r>
    </w:p>
    <w:p>
      <w:pPr>
        <w:pStyle w:val="FirstParagraph"/>
      </w:pPr>
      <w:r>
        <w:t xml:space="preserve">A synthetic dataset of CAMI G-Effects Model (CGEM) outputs over a structured cross-product of aerobatic maneuvers and pilot configurations. Used to train and validate the surrogate emulator (</w:t>
      </w:r>
      <w:r>
        <w:rPr>
          <w:rStyle w:val="VerbatimChar"/>
        </w:rPr>
        <w:t xml:space="preserve">cgem_ext.surrogate</w:t>
      </w:r>
      <w:r>
        <w:t xml:space="preserve">), the OOD detector (</w:t>
      </w:r>
      <w:r>
        <w:rPr>
          <w:rStyle w:val="VerbatimChar"/>
        </w:rPr>
        <w:t xml:space="preserve">cgem_ext.ood</w:t>
      </w:r>
      <w:r>
        <w:t xml:space="preserve">), and the global sensitivity analysis (</w:t>
      </w:r>
      <w:r>
        <w:rPr>
          <w:rStyle w:val="VerbatimChar"/>
        </w:rPr>
        <w:t xml:space="preserve">cgem_ext.sensitivity</w:t>
      </w:r>
      <w:r>
        <w:t xml:space="preserve">) shipped in the v0.1.0 ML extension layer.</w:t>
      </w:r>
    </w:p>
    <w:p>
      <w:pPr>
        <w:pStyle w:val="BodyText"/>
      </w:pPr>
      <w:r>
        <w:t xml:space="preserve">This datasheet follows the framework of Gebru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(2018),</w:t>
      </w:r>
      <w:r>
        <w:t xml:space="preserve"> </w:t>
      </w:r>
      <w:hyperlink r:id="rId20">
        <w:r>
          <w:rPr>
            <w:rStyle w:val="Hyperlink"/>
            <w:iCs/>
            <w:i/>
          </w:rPr>
          <w:t xml:space="preserve">Datasheets for Datasets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rPr>
          <w:bCs/>
          <w:b/>
        </w:rPr>
        <w:t xml:space="preserve">For what purpose was the dataset created?</w:t>
      </w:r>
      <w:r>
        <w:t xml:space="preserve"> </w:t>
      </w:r>
      <w:r>
        <w:t xml:space="preserve">To enable rigorous benchmarking of an ML extension layer (surrogate, OOD detection, sensitivity analysis, conformal uncertainty quantification) on top of the FAA’s validated CGEM Fortran model,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centrifuge validation against the lab’s own subjects becomes available. The synthetic-only approach is a deliberate v1 boundary documented in</w:t>
      </w:r>
      <w:r>
        <w:t xml:space="preserve"> </w:t>
      </w:r>
      <w:r>
        <w:rPr>
          <w:rStyle w:val="VerbatimChar"/>
        </w:rPr>
        <w:t xml:space="preserve">docs/publication/Q1_PAPER_PLAN.md</w:t>
      </w:r>
      <w:r>
        <w:t xml:space="preserve">: paper 1 validates the framework against CGEM as ground truth; paper 2 extends to published external centrifuge data; paper 3 extends to own-centrifuge subjects.</w:t>
      </w:r>
    </w:p>
    <w:p>
      <w:pPr>
        <w:pStyle w:val="BodyText"/>
      </w:pPr>
      <w:r>
        <w:rPr>
          <w:bCs/>
          <w:b/>
        </w:rPr>
        <w:t xml:space="preserve">Who created the dataset?</w:t>
      </w:r>
      <w:r>
        <w:t xml:space="preserve"> </w:t>
      </w:r>
      <w:r>
        <w:t xml:space="preserve">Dr. Diego Malpica, MD (Direction of Aerospace Medicine, Colombian Aerospace Force, Aerospace Scientific Department). ORCID: 0000-0002-2257-4940.</w:t>
      </w:r>
    </w:p>
    <w:p>
      <w:pPr>
        <w:pStyle w:val="BodyText"/>
      </w:pPr>
      <w:r>
        <w:rPr>
          <w:bCs/>
          <w:b/>
        </w:rPr>
        <w:t xml:space="preserve">Who funded the creation?</w:t>
      </w:r>
      <w:r>
        <w:t xml:space="preserve"> </w:t>
      </w:r>
      <w:r>
        <w:t xml:space="preserve">Self-funded research; no external sponsorship.</w:t>
      </w:r>
    </w:p>
    <w:p>
      <w:r>
        <w:pict>
          <v:rect style="width:0;height:1.5pt" o:hralign="center" o:hrstd="t" o:hr="t"/>
        </w:pict>
      </w:r>
    </w:p>
    <w:bookmarkEnd w:id="21"/>
    <w:bookmarkStart w:id="22" w:name="composition"/>
    <w:p>
      <w:pPr>
        <w:pStyle w:val="Heading2"/>
      </w:pPr>
      <w:r>
        <w:t xml:space="preserve">Composition</w:t>
      </w:r>
    </w:p>
    <w:p>
      <w:pPr>
        <w:pStyle w:val="FirstParagraph"/>
      </w:pPr>
      <w:r>
        <w:rPr>
          <w:bCs/>
          <w:b/>
        </w:rPr>
        <w:t xml:space="preserve">What do the instances represent?</w:t>
      </w:r>
      <w:r>
        <w:t xml:space="preserve"> </w:t>
      </w:r>
      <w:r>
        <w:t xml:space="preserve">Each row represents one CGEM simulation run for a (maneuver, pilot configuration) pair. The maneuver is one of 72 registered aerobatic / military / extreme profiles; the pilot configuration combines a</w:t>
      </w:r>
      <w:r>
        <w:t xml:space="preserve"> </w:t>
      </w:r>
      <w:r>
        <w:rPr>
          <w:rStyle w:val="VerbatimChar"/>
        </w:rPr>
        <w:t xml:space="preserve">who_profile</w:t>
      </w:r>
      <w:r>
        <w:t xml:space="preserve"> </w:t>
      </w:r>
      <w:r>
        <w:t xml:space="preserve">(FAA standard subject 1–6, or custom), a G-tolerance multiplier, a dehydration tier, and a countermeasures tier.</w:t>
      </w:r>
    </w:p>
    <w:p>
      <w:pPr>
        <w:pStyle w:val="BodyText"/>
      </w:pPr>
      <w:r>
        <w:rPr>
          <w:bCs/>
          <w:b/>
        </w:rPr>
        <w:t xml:space="preserve">How many instances?</w:t>
      </w:r>
      <w:r>
        <w:t xml:space="preserve"> </w:t>
      </w:r>
      <w:r>
        <w:t xml:space="preserve">3,240 rows over the full grid: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/ maneuver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  <w:r>
              <w:t xml:space="preserve"> </w:t>
            </w:r>
            <w:r>
              <w:rPr>
                <w:rStyle w:val="VerbatimChar"/>
              </w:rPr>
              <w:t xml:space="preserve">who_profile</w:t>
            </w:r>
            <w:r>
              <w:t xml:space="preserve"> </w:t>
            </w:r>
            <w:r>
              <w:t xml:space="preserve">× 3 countermeasures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G-tolerance × 3 dehydration × 3 countermeasures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3,240</w:t>
            </w:r>
          </w:p>
        </w:tc>
      </w:tr>
    </w:tbl>
    <w:p>
      <w:pPr>
        <w:pStyle w:val="BodyText"/>
      </w:pPr>
      <w:r>
        <w:t xml:space="preserve">The two arms exist because the Fortran model overrides subject physiology to the FAA preset whenever</w:t>
      </w:r>
      <w:r>
        <w:t xml:space="preserve"> </w:t>
      </w:r>
      <w:r>
        <w:rPr>
          <w:rStyle w:val="VerbatimChar"/>
        </w:rPr>
        <w:t xml:space="preserve">who_profile ∈ {1..6}</w:t>
      </w:r>
      <w:r>
        <w:t xml:space="preserve">, making both</w:t>
      </w:r>
      <w:r>
        <w:t xml:space="preserve"> </w:t>
      </w:r>
      <w:r>
        <w:rPr>
          <w:rStyle w:val="VerbatimChar"/>
        </w:rPr>
        <w:t xml:space="preserve">g_tolerance_multiplier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dehydration_level</w:t>
      </w:r>
      <w:r>
        <w:t xml:space="preserve"> </w:t>
      </w:r>
      <w:r>
        <w:t xml:space="preserve">no-ops on that path. The standard arm therefore fixes those at canonical values; the custom arm exercises them.</w:t>
      </w:r>
    </w:p>
    <w:p>
      <w:pPr>
        <w:pStyle w:val="BodyText"/>
      </w:pPr>
      <w:r>
        <w:rPr>
          <w:bCs/>
          <w:b/>
        </w:rPr>
        <w:t xml:space="preserve">What does each instance consist of?</w:t>
      </w:r>
      <w:r>
        <w:t xml:space="preserve"> </w:t>
      </w:r>
      <w:r>
        <w:t xml:space="preserve">A flat row with the following column families: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Identification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row_id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maneuver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who_profile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g_tolerance_multiplier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dehydration_label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dehydration_level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countermeasures_label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gsuit_max_psi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gsuit_coverage_fraction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agsm_effectiveness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pbg_max_mmhg</w:t>
      </w:r>
      <w:r>
        <w:t xml:space="preserve">,</w:t>
      </w:r>
      <w:r>
        <w:t xml:space="preserve"> </w:t>
      </w:r>
      <w:r>
        <w:rPr>
          <w:rStyle w:val="VerbatimChar"/>
        </w:rPr>
        <w:t xml:space="preserve">row_seed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Maneuver-summary features</w:t>
      </w:r>
      <w:r>
        <w:t xml:space="preserve"> </w:t>
      </w:r>
      <w:r>
        <w:t xml:space="preserve">(precomputed once per maneuver):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aresti_family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catalog_onset_rate_g_per_s</w:t>
      </w:r>
      <w:r>
        <w:t xml:space="preserve">,</w:t>
      </w:r>
      <w:r>
        <w:t xml:space="preserve"> </w:t>
      </w:r>
      <w:r>
        <w:rPr>
          <w:rStyle w:val="VerbatimChar"/>
        </w:rPr>
        <w:t xml:space="preserve">g_peak_abs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g_min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dgdt_max_g_per_s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num_profile_samples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CGEM event-time scalars</w:t>
      </w:r>
      <w:r>
        <w:t xml:space="preserve"> </w:t>
      </w:r>
      <w:r>
        <w:t xml:space="preserve">(the regression targets):</w:t>
      </w:r>
      <w:r>
        <w:t xml:space="preserve"> </w:t>
      </w:r>
      <w:r>
        <w:rPr>
          <w:rStyle w:val="VerbatimChar"/>
        </w:rPr>
        <w:t xml:space="preserve">time_to_greyout_s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time_to_blackout_s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time_to_gloc_s</w:t>
      </w:r>
      <w:r>
        <w:t xml:space="preserve"> </w:t>
      </w:r>
      <w:r>
        <w:t xml:space="preserve">(all nullable), and the matching binary flags</w:t>
      </w:r>
      <w:r>
        <w:t xml:space="preserve"> </w:t>
      </w:r>
      <w:r>
        <w:rPr>
          <w:rStyle w:val="VerbatimChar"/>
        </w:rPr>
        <w:t xml:space="preserve">event_greyout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event_blackout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event_gloc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Time-series-derived statistics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{hlap, c_bank, bo_bank, f_con, f_vis, f_bo, g_eff}_{min,max,mean,final}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};</w:t>
      </w:r>
      <w:r>
        <w:t xml:space="preserve"> </w:t>
      </w:r>
      <w:r>
        <w:rPr>
          <w:rStyle w:val="VerbatimChar"/>
        </w:rPr>
        <w:t xml:space="preserve">error_msg</w:t>
      </w:r>
      <w:r>
        <w:t xml:space="preserve">;</w:t>
      </w:r>
      <w:r>
        <w:t xml:space="preserve"> </w:t>
      </w:r>
      <w:r>
        <w:rPr>
          <w:rStyle w:val="VerbatimChar"/>
        </w:rPr>
        <w:t xml:space="preserve">num_samples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Are there missing values?</w:t>
      </w:r>
      <w:r>
        <w:t xml:space="preserve"> </w:t>
      </w:r>
      <w:r>
        <w:t xml:space="preserve">Event-time scalars 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(parquet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when the event did not occur during the maneuver.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missingness — it is right-censoring and is the rationale for the two-stage classifier-then-regressor pattern documented in</w:t>
      </w:r>
      <w:r>
        <w:t xml:space="preserve"> </w:t>
      </w:r>
      <w:r>
        <w:rPr>
          <w:rStyle w:val="VerbatimChar"/>
        </w:rPr>
        <w:t xml:space="preserve">docs/architecture/ML_LAYER.md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 dataset self-contained?</w:t>
      </w:r>
      <w:r>
        <w:t xml:space="preserve"> </w:t>
      </w:r>
      <w:r>
        <w:t xml:space="preserve">Yes. Maneuver definitions live in</w:t>
      </w:r>
      <w:r>
        <w:t xml:space="preserve"> </w:t>
      </w:r>
      <w:r>
        <w:rPr>
          <w:rStyle w:val="VerbatimChar"/>
        </w:rPr>
        <w:t xml:space="preserve">Aerobatics_sample_inputs/*.txt</w:t>
      </w:r>
      <w:r>
        <w:t xml:space="preserve">; the maneuver catalog (with category and Aresti metadata) lives in</w:t>
      </w:r>
      <w:r>
        <w:t xml:space="preserve"> </w:t>
      </w:r>
      <w:r>
        <w:rPr>
          <w:rStyle w:val="VerbatimChar"/>
        </w:rPr>
        <w:t xml:space="preserve">maneuvers_catalog.py</w:t>
      </w:r>
      <w:r>
        <w:t xml:space="preserve">. Both ship with this repo at the same commit as the dataset.</w:t>
      </w:r>
    </w:p>
    <w:p>
      <w:pPr>
        <w:pStyle w:val="BodyText"/>
      </w:pPr>
      <w:r>
        <w:rPr>
          <w:bCs/>
          <w:b/>
        </w:rPr>
        <w:t xml:space="preserve">Does the dataset contain confidential or sensitive content?</w:t>
      </w:r>
      <w:r>
        <w:t xml:space="preserve"> </w:t>
      </w:r>
      <w:r>
        <w:t xml:space="preserve">No. All maneuvers are publicly documented (Aresti CIVA catalogue, IAC programmes, ASEM/USAFSAM/NEDU literature). All pilot configurations are synthetic — no real subject’s biometric data is included.</w:t>
      </w:r>
    </w:p>
    <w:p>
      <w:r>
        <w:pict>
          <v:rect style="width:0;height:1.5pt" o:hralign="center" o:hrstd="t" o:hr="t"/>
        </w:pict>
      </w:r>
    </w:p>
    <w:bookmarkEnd w:id="22"/>
    <w:bookmarkStart w:id="23" w:name="collection-process"/>
    <w:p>
      <w:pPr>
        <w:pStyle w:val="Heading2"/>
      </w:pPr>
      <w:r>
        <w:t xml:space="preserve">Collection process</w:t>
      </w:r>
    </w:p>
    <w:p>
      <w:pPr>
        <w:pStyle w:val="FirstParagraph"/>
      </w:pPr>
      <w:r>
        <w:rPr>
          <w:bCs/>
          <w:b/>
        </w:rPr>
        <w:t xml:space="preserve">How was the data acquired?</w:t>
      </w:r>
      <w:r>
        <w:t xml:space="preserve"> </w:t>
      </w:r>
      <w:r>
        <w:t xml:space="preserve">By executing the FAA-validated CGEM Fortran binary (</w:t>
      </w:r>
      <w:r>
        <w:rPr>
          <w:rStyle w:val="VerbatimChar"/>
        </w:rPr>
        <w:t xml:space="preserve">cgem</w:t>
      </w:r>
      <w:r>
        <w:t xml:space="preserve"> </w:t>
      </w:r>
      <w:r>
        <w:t xml:space="preserve">ELF /</w:t>
      </w:r>
      <w:r>
        <w:t xml:space="preserve"> </w:t>
      </w:r>
      <w:r>
        <w:rPr>
          <w:rStyle w:val="VerbatimChar"/>
        </w:rPr>
        <w:t xml:space="preserve">cgem.exe</w:t>
      </w:r>
      <w:r>
        <w:t xml:space="preserve">) once per row via the</w:t>
      </w:r>
      <w:r>
        <w:t xml:space="preserve"> </w:t>
      </w:r>
      <w:r>
        <w:rPr>
          <w:rStyle w:val="VerbatimChar"/>
        </w:rPr>
        <w:t xml:space="preserve">cgem_wrapper.run_cgem_for_profile</w:t>
      </w:r>
      <w:r>
        <w:t xml:space="preserve"> </w:t>
      </w:r>
      <w:r>
        <w:t xml:space="preserve">Python wrapper. Each CGEM invocation receives the maneuver’s</w:t>
      </w:r>
      <w:r>
        <w:t xml:space="preserve"> </w:t>
      </w:r>
      <w:r>
        <w:rPr>
          <w:rStyle w:val="VerbatimChar"/>
        </w:rPr>
        <w:t xml:space="preserve">(Nz, duration_ms)</w:t>
      </w:r>
      <w:r>
        <w:t xml:space="preserve"> </w:t>
      </w:r>
      <w:r>
        <w:t xml:space="preserve">profile plus a</w:t>
      </w:r>
      <w:r>
        <w:t xml:space="preserve"> </w:t>
      </w:r>
      <w:r>
        <w:rPr>
          <w:rStyle w:val="VerbatimChar"/>
        </w:rPr>
        <w:t xml:space="preserve">gloc_inp.dat</w:t>
      </w:r>
      <w:r>
        <w:t xml:space="preserve"> </w:t>
      </w:r>
      <w:r>
        <w:t xml:space="preserve">deck encoding the row’s</w:t>
      </w:r>
      <w:r>
        <w:t xml:space="preserve"> </w:t>
      </w:r>
      <w:r>
        <w:rPr>
          <w:rStyle w:val="VerbatimChar"/>
        </w:rPr>
        <w:t xml:space="preserve">PilotConfig</w:t>
      </w:r>
      <w:r>
        <w:t xml:space="preserve">. The Fortran binary writes its output deck to a temporary directory; the wrapper parses it back into a</w:t>
      </w:r>
      <w:r>
        <w:t xml:space="preserve"> </w:t>
      </w:r>
      <w:r>
        <w:rPr>
          <w:rStyle w:val="VerbatimChar"/>
        </w:rPr>
        <w:t xml:space="preserve">CGEMResult</w:t>
      </w:r>
      <w:r>
        <w:t xml:space="preserve"> </w:t>
      </w:r>
      <w:r>
        <w:t xml:space="preserve">dataclass; the dataset generator extracts the documented columns and writes them to parquet.</w:t>
      </w:r>
    </w:p>
    <w:p>
      <w:pPr>
        <w:pStyle w:val="BodyText"/>
      </w:pPr>
      <w:r>
        <w:rPr>
          <w:bCs/>
          <w:b/>
        </w:rPr>
        <w:t xml:space="preserve">What was the cross-product enumeration?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cgem_ext/data/generate_dataset.py:_enumerate_grid</w:t>
      </w:r>
      <w:r>
        <w:t xml:space="preserve">. The generator yields a</w:t>
      </w:r>
      <w:r>
        <w:t xml:space="preserve"> </w:t>
      </w:r>
      <w:r>
        <w:rPr>
          <w:rStyle w:val="VerbatimChar"/>
        </w:rPr>
        <w:t xml:space="preserve">RowSpec</w:t>
      </w:r>
      <w:r>
        <w:t xml:space="preserve"> </w:t>
      </w:r>
      <w:r>
        <w:t xml:space="preserve">per row; each</w:t>
      </w:r>
      <w:r>
        <w:t xml:space="preserve"> </w:t>
      </w:r>
      <w:r>
        <w:rPr>
          <w:rStyle w:val="VerbatimChar"/>
        </w:rPr>
        <w:t xml:space="preserve">RowSpec</w:t>
      </w:r>
      <w:r>
        <w:t xml:space="preserve"> </w:t>
      </w:r>
      <w:r>
        <w:t xml:space="preserve">carries a deterministic per-row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derived as</w:t>
      </w:r>
      <w:r>
        <w:t xml:space="preserve"> </w:t>
      </w:r>
      <w:r>
        <w:rPr>
          <w:rStyle w:val="VerbatimChar"/>
        </w:rPr>
        <w:t xml:space="preserve">int.from_bytes(SHA256(f"{master_seed}|{row_id}").digest()[:4], "big")</w:t>
      </w:r>
      <w:r>
        <w:t xml:space="preserve">. The master seed defaults to</w:t>
      </w:r>
      <w:r>
        <w:t xml:space="preserve"> </w:t>
      </w:r>
      <w:r>
        <w:rPr>
          <w:bCs/>
          <w:b/>
        </w:rPr>
        <w:t xml:space="preserve">42</w:t>
      </w:r>
      <w:r>
        <w:t xml:space="preserve"> </w:t>
      </w:r>
      <w:r>
        <w:t xml:space="preserve">and is recorded in the sidecar metadata.</w:t>
      </w:r>
    </w:p>
    <w:p>
      <w:pPr>
        <w:pStyle w:val="BodyText"/>
      </w:pPr>
      <w:r>
        <w:rPr>
          <w:bCs/>
          <w:b/>
        </w:rPr>
        <w:t xml:space="preserve">How was the data parallelised?</w:t>
      </w:r>
      <w:r>
        <w:t xml:space="preserve"> </w:t>
      </w:r>
      <w:r>
        <w:rPr>
          <w:rStyle w:val="VerbatimChar"/>
        </w:rPr>
        <w:t xml:space="preserve">multiprocessing.Pool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start method and</w:t>
      </w:r>
      <w:r>
        <w:t xml:space="preserve"> </w:t>
      </w:r>
      <w:r>
        <w:rPr>
          <w:rStyle w:val="VerbatimChar"/>
        </w:rPr>
        <w:t xml:space="preserve">cpu_count - 1</w:t>
      </w:r>
      <w:r>
        <w:t xml:space="preserve"> </w:t>
      </w:r>
      <w:r>
        <w:t xml:space="preserve">workers. Each</w:t>
      </w:r>
      <w:r>
        <w:t xml:space="preserve"> </w:t>
      </w:r>
      <w:r>
        <w:rPr>
          <w:rStyle w:val="VerbatimChar"/>
        </w:rPr>
        <w:t xml:space="preserve">run_cgem_for_profile</w:t>
      </w:r>
      <w:r>
        <w:t xml:space="preserve"> </w:t>
      </w:r>
      <w:r>
        <w:t xml:space="preserve">call creates its own</w:t>
      </w:r>
      <w:r>
        <w:t xml:space="preserve"> </w:t>
      </w:r>
      <w:r>
        <w:rPr>
          <w:rStyle w:val="VerbatimChar"/>
        </w:rPr>
        <w:t xml:space="preserve">tempfile.mkdtemp</w:t>
      </w:r>
      <w:r>
        <w:t xml:space="preserve"> </w:t>
      </w:r>
      <w:r>
        <w:t xml:space="preserve">directory, so concurrent invocations are inherently isolated; no inter-worker locking is needed.</w:t>
      </w:r>
    </w:p>
    <w:p>
      <w:pPr>
        <w:pStyle w:val="BodyText"/>
      </w:pPr>
      <w:r>
        <w:rPr>
          <w:bCs/>
          <w:b/>
        </w:rPr>
        <w:t xml:space="preserve">Over what timeframe was the data collected?</w:t>
      </w:r>
      <w:r>
        <w:t xml:space="preserve"> </w:t>
      </w:r>
      <w:r>
        <w:t xml:space="preserve">The full grid generates in well under one minute on a modern multi-core CPU (~0.05 s/row × 3,240 rows ÷ N_workers). The dataset is regenerable at any time from the same seed with the same compiled binary.</w:t>
      </w:r>
    </w:p>
    <w:p>
      <w:pPr>
        <w:pStyle w:val="BodyText"/>
      </w:pPr>
      <w:r>
        <w:rPr>
          <w:bCs/>
          <w:b/>
        </w:rPr>
        <w:t xml:space="preserve">Was any preprocessing or filtering applied?</w:t>
      </w:r>
      <w:r>
        <w:t xml:space="preserve"> </w:t>
      </w:r>
      <w:r>
        <w:t xml:space="preserve">None at row generation time. Status-error rows (Fortran failures) are retained in the parquet and tagged via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column; downstream ML code filters them at training time via</w:t>
      </w:r>
      <w:r>
        <w:t xml:space="preserve"> </w:t>
      </w:r>
      <w:r>
        <w:rPr>
          <w:rStyle w:val="VerbatimChar"/>
        </w:rPr>
        <w:t xml:space="preserve">cgem_ext.data.splits.stratified_split(..., drop_status_error=True)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The dataset is fully reproducible from:</w:t>
      </w:r>
    </w:p>
    <w:p>
      <w:pPr>
        <w:numPr>
          <w:ilvl w:val="0"/>
          <w:numId w:val="1002"/>
        </w:numPr>
        <w:pStyle w:val="Compact"/>
      </w:pPr>
      <w:r>
        <w:t xml:space="preserve">The compiled CGEM binary, hashed by SHA-256 at generation time and written to</w:t>
      </w:r>
      <w:r>
        <w:t xml:space="preserve"> </w:t>
      </w:r>
      <w:r>
        <w:rPr>
          <w:rStyle w:val="VerbatimChar"/>
        </w:rPr>
        <w:t xml:space="preserve">*.meta.json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binary_sha256</w:t>
      </w:r>
      <w:r>
        <w:t xml:space="preserve"> </w:t>
      </w:r>
      <w:r>
        <w:t xml:space="preserve">field).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aerobatic_profiles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maneuvers_catalog</w:t>
      </w:r>
      <w:r>
        <w:t xml:space="preserve"> </w:t>
      </w:r>
      <w:r>
        <w:t xml:space="preserve">modules at the same commit as the generator.</w:t>
      </w:r>
    </w:p>
    <w:p>
      <w:pPr>
        <w:numPr>
          <w:ilvl w:val="0"/>
          <w:numId w:val="1002"/>
        </w:numPr>
        <w:pStyle w:val="Compact"/>
      </w:pPr>
      <w:r>
        <w:t xml:space="preserve">The master seed (default 42).</w:t>
      </w:r>
    </w:p>
    <w:p>
      <w:pPr>
        <w:numPr>
          <w:ilvl w:val="0"/>
          <w:numId w:val="1002"/>
        </w:numPr>
        <w:pStyle w:val="Compact"/>
      </w:pPr>
      <w:r>
        <w:t xml:space="preserve">The package version (recorded as</w:t>
      </w:r>
      <w:r>
        <w:t xml:space="preserve"> </w:t>
      </w:r>
      <w:r>
        <w:rPr>
          <w:rStyle w:val="VerbatimChar"/>
        </w:rPr>
        <w:t xml:space="preserve">cgem_ext.__version__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The tier definitions (</w:t>
      </w:r>
      <w:r>
        <w:rPr>
          <w:rStyle w:val="VerbatimChar"/>
        </w:rPr>
        <w:t xml:space="preserve">DEHYDRATION_LEVELS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COUNTERMEASURES_LEVELS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G_TOLERANCE_TIERS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WHO_PROFILES</w:t>
      </w:r>
      <w:r>
        <w:t xml:space="preserve"> </w:t>
      </w:r>
      <w:r>
        <w:t xml:space="preserve">— all written to</w:t>
      </w:r>
      <w:r>
        <w:t xml:space="preserve"> </w:t>
      </w:r>
      <w:r>
        <w:rPr>
          <w:rStyle w:val="VerbatimChar"/>
        </w:rPr>
        <w:t xml:space="preserve">*.meta.json</w:t>
      </w:r>
      <w:r>
        <w:t xml:space="preserve">).</w:t>
      </w:r>
    </w:p>
    <w:p>
      <w:pPr>
        <w:pStyle w:val="FirstParagraph"/>
      </w:pPr>
      <w:r>
        <w:t xml:space="preserve">Re-running</w:t>
      </w:r>
      <w:r>
        <w:t xml:space="preserve"> </w:t>
      </w:r>
      <w:r>
        <w:rPr>
          <w:rStyle w:val="VerbatimChar"/>
        </w:rPr>
        <w:t xml:space="preserve">python -m cgem_ext.data.generate_dataset --seed 42</w:t>
      </w:r>
      <w:r>
        <w:t xml:space="preserve"> </w:t>
      </w:r>
      <w:r>
        <w:t xml:space="preserve">against the same compiled binary produces an identical parquet (verified by</w:t>
      </w:r>
      <w:r>
        <w:t xml:space="preserve"> </w:t>
      </w:r>
      <w:r>
        <w:rPr>
          <w:rStyle w:val="VerbatimChar"/>
        </w:rPr>
        <w:t xml:space="preserve">tests/test_data.py::test_generator_is_deterministic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ed-uses"/>
    <w:p>
      <w:pPr>
        <w:pStyle w:val="Heading2"/>
      </w:pPr>
      <w:r>
        <w:t xml:space="preserve">Recommended uses</w:t>
      </w:r>
    </w:p>
    <w:p>
      <w:pPr>
        <w:numPr>
          <w:ilvl w:val="0"/>
          <w:numId w:val="1003"/>
        </w:numPr>
        <w:pStyle w:val="Compact"/>
      </w:pPr>
      <w:r>
        <w:t xml:space="preserve">Training the surrogate emulator (</w:t>
      </w:r>
      <w:r>
        <w:rPr>
          <w:rStyle w:val="VerbatimChar"/>
        </w:rPr>
        <w:t xml:space="preserve">cgem_ext.surrogate</w:t>
      </w:r>
      <w:r>
        <w:t xml:space="preserve">) — Phase 3.</w:t>
      </w:r>
    </w:p>
    <w:p>
      <w:pPr>
        <w:numPr>
          <w:ilvl w:val="0"/>
          <w:numId w:val="1003"/>
        </w:numPr>
        <w:pStyle w:val="Compact"/>
      </w:pPr>
      <w:r>
        <w:t xml:space="preserve">Fitting the OOD detector envelope (</w:t>
      </w:r>
      <w:r>
        <w:rPr>
          <w:rStyle w:val="VerbatimChar"/>
        </w:rPr>
        <w:t xml:space="preserve">cgem_ext.ood</w:t>
      </w:r>
      <w:r>
        <w:t xml:space="preserve">) — Phase 2.</w:t>
      </w:r>
    </w:p>
    <w:p>
      <w:pPr>
        <w:numPr>
          <w:ilvl w:val="0"/>
          <w:numId w:val="1003"/>
        </w:numPr>
        <w:pStyle w:val="Compact"/>
      </w:pPr>
      <w:r>
        <w:t xml:space="preserve">Driving global sensitivity analysis (</w:t>
      </w:r>
      <w:r>
        <w:rPr>
          <w:rStyle w:val="VerbatimChar"/>
        </w:rPr>
        <w:t xml:space="preserve">cgem_ext.sensitivity</w:t>
      </w:r>
      <w:r>
        <w:t xml:space="preserve">) — Phase 4.</w:t>
      </w:r>
    </w:p>
    <w:p>
      <w:pPr>
        <w:numPr>
          <w:ilvl w:val="0"/>
          <w:numId w:val="1003"/>
        </w:numPr>
        <w:pStyle w:val="Compact"/>
      </w:pPr>
      <w:r>
        <w:t xml:space="preserve">As the in-distribution reference for OOD evaluation against held-out maneuver categories (leave-one-group-out via</w:t>
      </w:r>
      <w:r>
        <w:t xml:space="preserve"> </w:t>
      </w:r>
      <w:r>
        <w:rPr>
          <w:rStyle w:val="VerbatimChar"/>
        </w:rPr>
        <w:t xml:space="preserve">cgem_ext.data.splits.leave_one_group_out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Recommended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not-uses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treat synthetic CGEM outputs as ground-truth physiological response of any specific real pilot. The synthetic-only validation strategy is documented in paper 1’s Methods and Discussion; downstream consumers should respect that boundary.</w:t>
      </w:r>
    </w:p>
    <w:p>
      <w:pPr>
        <w:numPr>
          <w:ilvl w:val="0"/>
          <w:numId w:val="1004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the dataset to fit a model and then claim centrifuge-validated performance — that’s the explicit subject of paper 3, blocked on subject data.</w:t>
      </w:r>
    </w:p>
    <w:p>
      <w:pPr>
        <w:numPr>
          <w:ilvl w:val="0"/>
          <w:numId w:val="1004"/>
        </w:numPr>
        <w:pStyle w:val="Compact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mix this dataset with real centrifuge data without re-fitting the surrogate; the discrepancy term</w:t>
      </w:r>
      <w:r>
        <w:t xml:space="preserve"> </w:t>
      </w:r>
      <w:r>
        <w:rPr>
          <w:rStyle w:val="VerbatimChar"/>
        </w:rPr>
        <w:t xml:space="preserve">δ(x) = real(x) − CGEM(x)</w:t>
      </w:r>
      <w:r>
        <w:t xml:space="preserve"> </w:t>
      </w:r>
      <w:r>
        <w:t xml:space="preserve">is the explicit subject of paper 2.</w:t>
      </w:r>
    </w:p>
    <w:p>
      <w:r>
        <w:pict>
          <v:rect style="width:0;height:1.5pt" o:hralign="center" o:hrstd="t" o:hr="t"/>
        </w:pict>
      </w:r>
    </w:p>
    <w:bookmarkEnd w:id="25"/>
    <w:bookmarkStart w:id="26" w:name="distribution"/>
    <w:p>
      <w:pPr>
        <w:pStyle w:val="Heading2"/>
      </w:pPr>
      <w:r>
        <w:t xml:space="preserve">Distribution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strikerdlm/CAMI-Gz-Effects-Model-CGEM-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feat/ml-layer-phase-0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data/datasets/cgem_synthetic_v1.parquet</w:t>
      </w:r>
      <w:r>
        <w:t xml:space="preserve"> </w:t>
      </w:r>
      <w:r>
        <w:t xml:space="preserve">(full file in DVC; hash committed). Sidecar metadata at</w:t>
      </w:r>
      <w:r>
        <w:t xml:space="preserve"> </w:t>
      </w:r>
      <w:r>
        <w:rPr>
          <w:rStyle w:val="VerbatimChar"/>
        </w:rPr>
        <w:t xml:space="preserve">data/datasets/cgem_synthetic_v1.meta.json</w:t>
      </w:r>
      <w:r>
        <w:t xml:space="preserve"> </w:t>
      </w:r>
      <w:r>
        <w:t xml:space="preserve">(committed).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Zenodo DOI</w:t>
      </w:r>
      <w:r>
        <w:t xml:space="preserve">: TBD at paper-1 submission time (Phase 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License</w:t>
      </w:r>
      <w:r>
        <w:t xml:space="preserve">: MIT (matches the rest of the repo).</w:t>
      </w:r>
    </w:p>
    <w:p>
      <w:r>
        <w:pict>
          <v:rect style="width:0;height:1.5pt" o:hralign="center" o:hrstd="t" o:hr="t"/>
        </w:pict>
      </w:r>
    </w:p>
    <w:bookmarkEnd w:id="26"/>
    <w:bookmarkStart w:id="27" w:name="maintenance"/>
    <w:p>
      <w:pPr>
        <w:pStyle w:val="Heading2"/>
      </w:pPr>
      <w:r>
        <w:t xml:space="preserve">Maintenance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Versioning</w:t>
      </w:r>
      <w:r>
        <w:t xml:space="preserve">: Frozen by name (</w:t>
      </w:r>
      <w:r>
        <w:rPr>
          <w:rStyle w:val="VerbatimChar"/>
        </w:rPr>
        <w:t xml:space="preserve">cgem_synthetic_v1</w:t>
      </w:r>
      <w:r>
        <w:t xml:space="preserve">). Any change to the input grid, master seed, tier definitions, or the underlying compiled binary’s SHA increments the version —</w:t>
      </w:r>
      <w:r>
        <w:t xml:space="preserve"> </w:t>
      </w:r>
      <w:r>
        <w:rPr>
          <w:rStyle w:val="VerbatimChar"/>
        </w:rPr>
        <w:t xml:space="preserve">cgem_synthetic_v2</w:t>
      </w:r>
      <w:r>
        <w:t xml:space="preserve">, etc. — and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in-place update.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Updates</w:t>
      </w:r>
      <w:r>
        <w:t xml:space="preserve">: Tracked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block per phase.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Successor versions</w:t>
      </w:r>
      <w:r>
        <w:t xml:space="preserve"> </w:t>
      </w:r>
      <w:r>
        <w:t xml:space="preserve">will land alongside paper 2 (external-data discrepancy work) and paper 3 (own-centrifuge validation), each carrying its own datasheet.</w:t>
      </w:r>
    </w:p>
    <w:p>
      <w:r>
        <w:pict>
          <v:rect style="width:0;height:1.5pt" o:hralign="center" o:hrstd="t" o:hr="t"/>
        </w:pict>
      </w:r>
    </w:p>
    <w:bookmarkEnd w:id="27"/>
    <w:bookmarkStart w:id="28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Synthetic only</w:t>
      </w:r>
      <w:r>
        <w:t xml:space="preserve"> </w:t>
      </w:r>
      <w:r>
        <w:t xml:space="preserve">— the dataset reproduces a validated FAA model.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against centrifuge or in-flight physiological data. This is the explicit subject of paper 2 and paper 3 follow-ups.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Standard arm undervaries</w:t>
      </w:r>
      <w:r>
        <w:t xml:space="preserve"> </w:t>
      </w:r>
      <w:r>
        <w:t xml:space="preserve">the dehydration and G-tolerance knobs because the Fortran model ignores them when</w:t>
      </w:r>
      <w:r>
        <w:t xml:space="preserve"> </w:t>
      </w:r>
      <w:r>
        <w:rPr>
          <w:rStyle w:val="VerbatimChar"/>
        </w:rPr>
        <w:t xml:space="preserve">who_profile</w:t>
      </w:r>
      <w:r>
        <w:t xml:space="preserve"> </w:t>
      </w:r>
      <w:r>
        <w:t xml:space="preserve">is set. The surrogate naturally learns this constraint from the custom-arm rows.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Censored events</w:t>
      </w:r>
      <w:r>
        <w:t xml:space="preserve"> </w:t>
      </w:r>
      <w:r>
        <w:t xml:space="preserve">— many maneuver / pilot combinations do not trigger greyout/blackout/G-LOC. The censoring rate per target is reported in the sidecar metadata. Downstream models handle censoring via the two-stage pattern.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instrumentation noise</w:t>
      </w:r>
      <w:r>
        <w:t xml:space="preserve"> </w:t>
      </w:r>
      <w:r>
        <w:t xml:space="preserve">— outputs are deterministic given inputs. Real centrifuge data carries noise that this dataset does not capture.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Six FAA presets only</w:t>
      </w:r>
      <w:r>
        <w:t xml:space="preserve"> </w:t>
      </w:r>
      <w:r>
        <w:t xml:space="preserve">— the custom arm exposes physiological variation but is bounded by the parameter ranges of</w:t>
      </w:r>
      <w:r>
        <w:t xml:space="preserve"> </w:t>
      </w:r>
      <w:r>
        <w:rPr>
          <w:rStyle w:val="VerbatimChar"/>
        </w:rPr>
        <w:t xml:space="preserve">PilotConfig</w:t>
      </w:r>
      <w:r>
        <w:t xml:space="preserve">. Out-of-range pilots (extreme age, unusual anthropometrics) are out of distribution and should be flagged by the OOD detector.</w:t>
      </w:r>
    </w:p>
    <w:p>
      <w:r>
        <w:pict>
          <v:rect style="width:0;height:1.5pt" o:hralign="center" o:hrstd="t" o:hr="t"/>
        </w:pict>
      </w:r>
    </w:p>
    <w:bookmarkEnd w:id="28"/>
    <w:bookmarkStart w:id="29" w:name="citation"/>
    <w:p>
      <w:pPr>
        <w:pStyle w:val="Heading2"/>
      </w:pPr>
      <w:r>
        <w:t xml:space="preserve">Citation</w:t>
      </w:r>
    </w:p>
    <w:p>
      <w:pPr>
        <w:pStyle w:val="BlockText"/>
      </w:pPr>
      <w:r>
        <w:t xml:space="preserve">Malpica D. (2026).</w:t>
      </w:r>
      <w:r>
        <w:t xml:space="preserve"> </w:t>
      </w:r>
      <w:r>
        <w:rPr>
          <w:iCs/>
          <w:i/>
        </w:rPr>
        <w:t xml:space="preserve">cgem_synthetic_v1</w:t>
      </w:r>
      <w:r>
        <w:t xml:space="preserve">: a synthetic CGEM dataset for ML-augmented G-LOC prediction. Repository</w:t>
      </w:r>
      <w:r>
        <w:t xml:space="preserve"> </w:t>
      </w:r>
      <w:r>
        <w:rPr>
          <w:rStyle w:val="VerbatimChar"/>
        </w:rPr>
        <w:t xml:space="preserve">strikerdlm/CAMI-Gz-Effects-Model-CGEM-</w:t>
      </w:r>
      <w:r>
        <w:t xml:space="preserve"> </w:t>
      </w:r>
      <w:r>
        <w:t xml:space="preserve">v0.1.0. Zenodo DOI:</w:t>
      </w:r>
      <w:r>
        <w:t xml:space="preserve"> </w:t>
      </w:r>
      <w:r>
        <w:rPr>
          <w:iCs/>
          <w:i/>
        </w:rPr>
        <w:t xml:space="preserve">TBD at paper-1 submission</w:t>
      </w:r>
      <w:r>
        <w:t xml:space="preserve">.</w:t>
      </w:r>
    </w:p>
    <w:p>
      <w:pPr>
        <w:pStyle w:val="FirstParagraph"/>
      </w:pPr>
      <w:r>
        <w:t xml:space="preserve">The underlying FAA CGEM model is cited separately:</w:t>
      </w:r>
    </w:p>
    <w:p>
      <w:pPr>
        <w:pStyle w:val="BlockText"/>
      </w:pPr>
      <w:r>
        <w:t xml:space="preserve">Copeland K. (2020).</w:t>
      </w:r>
      <w:r>
        <w:t xml:space="preserve"> </w:t>
      </w:r>
      <w:r>
        <w:rPr>
          <w:iCs/>
          <w:i/>
        </w:rPr>
        <w:t xml:space="preserve">Civil Aerospace Medicine Institute G-Effects Model (CGEM)</w:t>
      </w:r>
      <w:r>
        <w:t xml:space="preserve">. Federal Aviation Administration Office of Aerospace Medicine, AAM-631.</w:t>
      </w:r>
    </w:p>
    <w:bookmarkEnd w:id="29"/>
    <w:bookmarkEnd w:id="30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arxiv.org/abs/1803.090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803.090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2026-05-14T08:38:52Z</dcterms:created>
  <dcterms:modified xsi:type="dcterms:W3CDTF">2026-05-14T08:38:52Z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