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240" w:after="120"/>
      </w:pPr>
      <w:r>
        <w:rPr>
          <w:rFonts w:ascii="Times New Roman" w:hAnsi="Times New Roman" w:cs="Times New Roman" w:eastAsia="Times New Roman"/>
          <w:b/>
          <w:i w:val="0"/>
          <w:sz w:val="28"/>
        </w:rPr>
        <w:t>Supplementary Information</w:t>
      </w:r>
    </w:p>
    <w:p>
      <w:pPr>
        <w:spacing w:line="480" w:lineRule="auto" w:before="0" w:after="0"/>
      </w:pPr>
      <w:r>
        <w:rPr>
          <w:rFonts w:ascii="Times New Roman" w:hAnsi="Times New Roman" w:cs="Times New Roman" w:eastAsia="Times New Roman"/>
          <w:b w:val="0"/>
          <w:i w:val="0"/>
          <w:sz w:val="24"/>
        </w:rPr>
        <w:t>Manuscript title: Calibrated surrogate emulator, conformal prediction intervals, and global sensitivity analysis for the FAA CGEM G-effects model — a portable uncertainty-aware extension layer for a validated regulatory ODE physiological model.</w:t>
      </w:r>
    </w:p>
    <w:p>
      <w:pPr>
        <w:spacing w:line="480" w:lineRule="auto" w:before="0" w:after="0"/>
      </w:pPr>
      <w:r>
        <w:rPr>
          <w:rFonts w:ascii="Times New Roman" w:hAnsi="Times New Roman" w:cs="Times New Roman" w:eastAsia="Times New Roman"/>
          <w:b w:val="0"/>
          <w:i/>
          <w:sz w:val="24"/>
        </w:rPr>
        <w:t>Author: Diego Malpica, MD. Sole author.</w:t>
      </w:r>
    </w:p>
    <w:p>
      <w:pPr>
        <w:spacing w:line="480" w:lineRule="auto" w:before="0" w:after="0"/>
      </w:pPr>
      <w:r>
        <w:rPr>
          <w:rFonts w:ascii="Times New Roman" w:hAnsi="Times New Roman" w:cs="Times New Roman" w:eastAsia="Times New Roman"/>
          <w:b w:val="0"/>
          <w:i/>
          <w:sz w:val="24"/>
        </w:rPr>
        <w:t>Journal: International Journal for Numerical Methods in Biomedical Engineering (IJNMBE), Wiley.</w:t>
      </w:r>
    </w:p>
    <w:p>
      <w:pPr>
        <w:spacing w:line="480" w:lineRule="auto" w:before="240" w:after="120"/>
      </w:pPr>
      <w:r>
        <w:rPr>
          <w:rFonts w:ascii="Times New Roman" w:hAnsi="Times New Roman" w:cs="Times New Roman" w:eastAsia="Times New Roman"/>
          <w:b/>
          <w:i w:val="0"/>
          <w:sz w:val="26"/>
        </w:rPr>
        <w:t>Portal-upload mapping (Wiley CNM portal)</w:t>
      </w:r>
    </w:p>
    <w:p>
      <w:pPr>
        <w:spacing w:line="480" w:lineRule="auto" w:before="0" w:after="0"/>
      </w:pPr>
      <w:r>
        <w:rPr>
          <w:rFonts w:ascii="Times New Roman" w:hAnsi="Times New Roman" w:cs="Times New Roman" w:eastAsia="Times New Roman"/>
          <w:b w:val="0"/>
          <w:i w:val="0"/>
          <w:sz w:val="24"/>
        </w:rPr>
        <w:t>Per the IJNMBE Author Guidelines, primary data and code are uploaded as Data Files (a distinct portal designation from Supporting Information). On acceptance Wiley deposits Data Files to figshare under CC-Zero and assigns a single DOI permanently linked to the article HTML. The supplementary package is therefore split into two subfolders:</w:t>
      </w:r>
    </w:p>
    <w:p>
      <w:pPr>
        <w:spacing w:line="480" w:lineRule="auto" w:before="0" w:after="0"/>
      </w:pPr>
      <w:r>
        <w:rPr>
          <w:rFonts w:ascii="Times New Roman" w:hAnsi="Times New Roman" w:cs="Times New Roman" w:eastAsia="Times New Roman"/>
          <w:b w:val="0"/>
          <w:i w:val="0"/>
          <w:sz w:val="24"/>
        </w:rPr>
        <w:t xml:space="preserve">    supporting_info/   ← upload as Wiley 'Supporting Information' (DOCX tables, model cards, datasheet, TRIPOD-AI checklist, OSF pre-registration + amendment).</w:t>
      </w:r>
    </w:p>
    <w:p>
      <w:pPr>
        <w:spacing w:line="480" w:lineRule="auto" w:before="0" w:after="0"/>
      </w:pPr>
      <w:r>
        <w:rPr>
          <w:rFonts w:ascii="Times New Roman" w:hAnsi="Times New Roman" w:cs="Times New Roman" w:eastAsia="Times New Roman"/>
          <w:b w:val="0"/>
          <w:i w:val="0"/>
          <w:sz w:val="24"/>
        </w:rPr>
        <w:t xml:space="preserve">    data_files/        ← upload as Wiley 'Data Files' (code, raw JSON / CSV / Parquet artefacts behind every table; SHAP and Morris plots; H6 evaluation data).</w:t>
      </w:r>
    </w:p>
    <w:p>
      <w:pPr>
        <w:spacing w:line="480" w:lineRule="auto" w:before="240" w:after="120"/>
      </w:pPr>
      <w:r>
        <w:rPr>
          <w:rFonts w:ascii="Times New Roman" w:hAnsi="Times New Roman" w:cs="Times New Roman" w:eastAsia="Times New Roman"/>
          <w:b/>
          <w:i w:val="0"/>
          <w:sz w:val="26"/>
        </w:rPr>
        <w:t>Index of Supplementary Materials</w:t>
      </w:r>
    </w:p>
    <w:p>
      <w:pPr>
        <w:spacing w:line="480" w:lineRule="auto" w:before="0" w:after="0"/>
      </w:pPr>
      <w:r>
        <w:rPr>
          <w:rFonts w:ascii="Times New Roman" w:hAnsi="Times New Roman" w:cs="Times New Roman" w:eastAsia="Times New Roman"/>
          <w:b w:val="0"/>
          <w:i w:val="0"/>
          <w:sz w:val="24"/>
        </w:rPr>
        <w:t>Reference column denotes the manuscript-citation key (Table Sx / Document Sx / Data Sx / Code Sx). File column gives the on-disk filename in the relevant subfolder above.</w:t>
      </w:r>
    </w:p>
    <w:tbl>
      <w:tblPr>
        <w:tblW w:type="auto" w:w="0"/>
        <w:jc w:val="center"/>
        <w:tblLayout w:type="fixed"/>
        <w:tblLook w:firstColumn="1" w:firstRow="1" w:lastColumn="0" w:lastRow="0" w:noHBand="0" w:noVBand="1" w:val="04A0"/>
      </w:tblPr>
      <w:tblGrid>
        <w:gridCol w:w="3009"/>
        <w:gridCol w:w="3009"/>
        <w:gridCol w:w="3009"/>
      </w:tblGrid>
      <w:tr>
        <w:tc>
          <w:tcPr>
            <w:tcW w:type="dxa" w:w="1361"/>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i w:val="0"/>
                <w:sz w:val="22"/>
              </w:rPr>
              <w:t>Reference</w:t>
            </w:r>
          </w:p>
        </w:tc>
        <w:tc>
          <w:tcPr>
            <w:tcW w:type="dxa" w:w="5443"/>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i w:val="0"/>
                <w:sz w:val="22"/>
              </w:rPr>
              <w:t>Description</w:t>
            </w:r>
          </w:p>
        </w:tc>
        <w:tc>
          <w:tcPr>
            <w:tcW w:type="dxa" w:w="2268"/>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i w:val="0"/>
                <w:sz w:val="22"/>
              </w:rPr>
              <w:t>File</w:t>
            </w:r>
          </w:p>
        </w:tc>
      </w:tr>
      <w:tr>
        <w:tc>
          <w:tcPr>
            <w:tcW w:type="dxa" w:w="1361"/>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Table S1</w:t>
            </w:r>
          </w:p>
        </w:tc>
        <w:tc>
          <w:tcPr>
            <w:tcW w:type="dxa" w:w="5443"/>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RandomForest baseline vs XGBoost surrogate on the OSF-pre-registered held-out test split. Cited from manuscript §3.2.</w:t>
            </w:r>
          </w:p>
        </w:tc>
        <w:tc>
          <w:tcPr>
            <w:tcW w:type="dxa" w:w="2268"/>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table_s1_rf_baseline.docx</w:t>
            </w:r>
          </w:p>
        </w:tc>
      </w:tr>
      <w:tr>
        <w:tc>
          <w:tcPr>
            <w:tcW w:type="dxa" w:w="1361"/>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Table S2</w:t>
            </w:r>
          </w:p>
        </w:tc>
        <w:tc>
          <w:tcPr>
            <w:tcW w:type="dxa" w:w="5443"/>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Per-target, per-stratum empirical conformal coverage with Clopper–Pearson exact 95 % binomial CIs and bootstrap-resampled coverage CIs. Cited from manuscript §3.3.</w:t>
            </w:r>
          </w:p>
        </w:tc>
        <w:tc>
          <w:tcPr>
            <w:tcW w:type="dxa" w:w="2268"/>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table_s2_per_stratum_coverage.docx</w:t>
            </w:r>
          </w:p>
        </w:tc>
      </w:tr>
      <w:tr>
        <w:tc>
          <w:tcPr>
            <w:tcW w:type="dxa" w:w="1361"/>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Table S3</w:t>
            </w:r>
          </w:p>
        </w:tc>
        <w:tc>
          <w:tcPr>
            <w:tcW w:type="dxa" w:w="5443"/>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Second-order Sobol interaction indices (S₂) with SALib bootstrap half-widths. Manuscript-§supp item 10.</w:t>
            </w:r>
          </w:p>
        </w:tc>
        <w:tc>
          <w:tcPr>
            <w:tcW w:type="dxa" w:w="2268"/>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table_s3_second_order_sobol.docx</w:t>
            </w:r>
          </w:p>
        </w:tc>
      </w:tr>
      <w:tr>
        <w:tc>
          <w:tcPr>
            <w:tcW w:type="dxa" w:w="1361"/>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Document S1</w:t>
            </w:r>
          </w:p>
        </w:tc>
        <w:tc>
          <w:tcPr>
            <w:tcW w:type="dxa" w:w="5443"/>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TRIPOD-AI compliance checklist (manuscript-§supp item 1).</w:t>
            </w:r>
          </w:p>
        </w:tc>
        <w:tc>
          <w:tcPr>
            <w:tcW w:type="dxa" w:w="2268"/>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tripod_ai_checklist.docx</w:t>
            </w:r>
          </w:p>
        </w:tc>
      </w:tr>
      <w:tr>
        <w:tc>
          <w:tcPr>
            <w:tcW w:type="dxa" w:w="1361"/>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Document S2</w:t>
            </w:r>
          </w:p>
        </w:tc>
        <w:tc>
          <w:tcPr>
            <w:tcW w:type="dxa" w:w="5443"/>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Dataset datasheet, Gebru-style (manuscript-§supp item 2).</w:t>
            </w:r>
          </w:p>
        </w:tc>
        <w:tc>
          <w:tcPr>
            <w:tcW w:type="dxa" w:w="2268"/>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datasheet.docx</w:t>
            </w:r>
          </w:p>
        </w:tc>
      </w:tr>
      <w:tr>
        <w:tc>
          <w:tcPr>
            <w:tcW w:type="dxa" w:w="1361"/>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Document S3</w:t>
            </w:r>
          </w:p>
        </w:tc>
        <w:tc>
          <w:tcPr>
            <w:tcW w:type="dxa" w:w="5443"/>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Emulator model card (manuscript-§supp item 3).</w:t>
            </w:r>
          </w:p>
        </w:tc>
        <w:tc>
          <w:tcPr>
            <w:tcW w:type="dxa" w:w="2268"/>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emulator_card.docx</w:t>
            </w:r>
          </w:p>
        </w:tc>
      </w:tr>
      <w:tr>
        <w:tc>
          <w:tcPr>
            <w:tcW w:type="dxa" w:w="1361"/>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Document S4</w:t>
            </w:r>
          </w:p>
        </w:tc>
        <w:tc>
          <w:tcPr>
            <w:tcW w:type="dxa" w:w="5443"/>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OOD detector model card (manuscript-§supp item 4).</w:t>
            </w:r>
          </w:p>
        </w:tc>
        <w:tc>
          <w:tcPr>
            <w:tcW w:type="dxa" w:w="2268"/>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ood_card.docx</w:t>
            </w:r>
          </w:p>
        </w:tc>
      </w:tr>
      <w:tr>
        <w:tc>
          <w:tcPr>
            <w:tcW w:type="dxa" w:w="1361"/>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Document S5</w:t>
            </w:r>
          </w:p>
        </w:tc>
        <w:tc>
          <w:tcPr>
            <w:tcW w:type="dxa" w:w="5443"/>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OSF pre-registration (master text, locking split indices and success thresholds).</w:t>
            </w:r>
          </w:p>
        </w:tc>
        <w:tc>
          <w:tcPr>
            <w:tcW w:type="dxa" w:w="2268"/>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osf_preregistration.docx</w:t>
            </w:r>
          </w:p>
        </w:tc>
      </w:tr>
      <w:tr>
        <w:tc>
          <w:tcPr>
            <w:tcW w:type="dxa" w:w="1361"/>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Document S6</w:t>
            </w:r>
          </w:p>
        </w:tc>
        <w:tc>
          <w:tcPr>
            <w:tcW w:type="dxa" w:w="5443"/>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OSF amendment 2026-05-06 (H5 CQR anchor; H6 archival validation cohort).</w:t>
            </w:r>
          </w:p>
        </w:tc>
        <w:tc>
          <w:tcPr>
            <w:tcW w:type="dxa" w:w="2268"/>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osf_amendment_2026-05-06.docx</w:t>
            </w:r>
          </w:p>
        </w:tc>
      </w:tr>
      <w:tr>
        <w:tc>
          <w:tcPr>
            <w:tcW w:type="dxa" w:w="1361"/>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Data S1</w:t>
            </w:r>
          </w:p>
        </w:tc>
        <w:tc>
          <w:tcPr>
            <w:tcW w:type="dxa" w:w="5443"/>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Frozen OSF-pre-registered hyperparameter search spaces (JSON, manuscript-§supp item 5).</w:t>
            </w:r>
          </w:p>
        </w:tc>
        <w:tc>
          <w:tcPr>
            <w:tcW w:type="dxa" w:w="2268"/>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osf_search_spaces.json</w:t>
            </w:r>
          </w:p>
        </w:tc>
      </w:tr>
      <w:tr>
        <w:tc>
          <w:tcPr>
            <w:tcW w:type="dxa" w:w="1361"/>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Data S2</w:t>
            </w:r>
          </w:p>
        </w:tc>
        <w:tc>
          <w:tcPr>
            <w:tcW w:type="dxa" w:w="5443"/>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Frozen OSF-pre-registered split indices (Parquet, manuscript-§supp item 6).</w:t>
            </w:r>
          </w:p>
        </w:tc>
        <w:tc>
          <w:tcPr>
            <w:tcW w:type="dxa" w:w="2268"/>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osf_split_indices.parquet</w:t>
            </w:r>
          </w:p>
        </w:tc>
      </w:tr>
      <w:tr>
        <w:tc>
          <w:tcPr>
            <w:tcW w:type="dxa" w:w="1361"/>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Data S3</w:t>
            </w:r>
          </w:p>
        </w:tc>
        <w:tc>
          <w:tcPr>
            <w:tcW w:type="dxa" w:w="5443"/>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SHAP TreeExplainer mean(|SHAP|) per (target, feature) on the held-out test split (manuscript-§supp item 8).</w:t>
            </w:r>
          </w:p>
        </w:tc>
        <w:tc>
          <w:tcPr>
            <w:tcW w:type="dxa" w:w="2268"/>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shap_importance.json</w:t>
            </w:r>
          </w:p>
        </w:tc>
      </w:tr>
      <w:tr>
        <w:tc>
          <w:tcPr>
            <w:tcW w:type="dxa" w:w="1361"/>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Data S4</w:t>
            </w:r>
          </w:p>
        </w:tc>
        <w:tc>
          <w:tcPr>
            <w:tcW w:type="dxa" w:w="5443"/>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Morris Elementary Effects μ* and σ per (target, feature) (manuscript-§supp item 9, CSV).</w:t>
            </w:r>
          </w:p>
        </w:tc>
        <w:tc>
          <w:tcPr>
            <w:tcW w:type="dxa" w:w="2268"/>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morris.csv</w:t>
            </w:r>
          </w:p>
        </w:tc>
      </w:tr>
      <w:tr>
        <w:tc>
          <w:tcPr>
            <w:tcW w:type="dxa" w:w="1361"/>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Data S5</w:t>
            </w:r>
          </w:p>
        </w:tc>
        <w:tc>
          <w:tcPr>
            <w:tcW w:type="dxa" w:w="5443"/>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First and total-order Sobol indices (CSV) — also rendered as manuscript Figure 5.</w:t>
            </w:r>
          </w:p>
        </w:tc>
        <w:tc>
          <w:tcPr>
            <w:tcW w:type="dxa" w:w="2268"/>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sobol_first_total.csv</w:t>
            </w:r>
          </w:p>
        </w:tc>
      </w:tr>
      <w:tr>
        <w:tc>
          <w:tcPr>
            <w:tcW w:type="dxa" w:w="1361"/>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Data S6</w:t>
            </w:r>
          </w:p>
        </w:tc>
        <w:tc>
          <w:tcPr>
            <w:tcW w:type="dxa" w:w="5443"/>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Second-order Sobol interactions raw CSV (also rendered as Table S3).</w:t>
            </w:r>
          </w:p>
        </w:tc>
        <w:tc>
          <w:tcPr>
            <w:tcW w:type="dxa" w:w="2268"/>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sobol_second_order.csv</w:t>
            </w:r>
          </w:p>
        </w:tc>
      </w:tr>
      <w:tr>
        <w:tc>
          <w:tcPr>
            <w:tcW w:type="dxa" w:w="1361"/>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Code S1</w:t>
            </w:r>
          </w:p>
        </w:tc>
        <w:tc>
          <w:tcPr>
            <w:tcW w:type="dxa" w:w="5443"/>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Reproducibility runner for Tables S1–S2 and the JSON artifacts behind them (Python).</w:t>
            </w:r>
          </w:p>
        </w:tc>
        <w:tc>
          <w:tcPr>
            <w:tcW w:type="dxa" w:w="2268"/>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build_supplementary_tables.py</w:t>
            </w:r>
          </w:p>
        </w:tc>
      </w:tr>
      <w:tr>
        <w:tc>
          <w:tcPr>
            <w:tcW w:type="dxa" w:w="1361"/>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Code S2</w:t>
            </w:r>
          </w:p>
        </w:tc>
        <w:tc>
          <w:tcPr>
            <w:tcW w:type="dxa" w:w="5443"/>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DOCX renderer for Tables S1–S3 and this Supplementary Information cover (Python).</w:t>
            </w:r>
          </w:p>
        </w:tc>
        <w:tc>
          <w:tcPr>
            <w:tcW w:type="dxa" w:w="2268"/>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render_supplementary_docx.py</w:t>
            </w:r>
          </w:p>
        </w:tc>
      </w:tr>
      <w:tr>
        <w:tc>
          <w:tcPr>
            <w:tcW w:type="dxa" w:w="1361"/>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Code S3</w:t>
            </w:r>
          </w:p>
        </w:tc>
        <w:tc>
          <w:tcPr>
            <w:tcW w:type="dxa" w:w="5443"/>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OSF artifact materializer — emits osf_search_spaces.json and osf_split_indices.parquet (Python).</w:t>
            </w:r>
          </w:p>
        </w:tc>
        <w:tc>
          <w:tcPr>
            <w:tcW w:type="dxa" w:w="2268"/>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build_osf_artifacts.py</w:t>
            </w:r>
          </w:p>
        </w:tc>
      </w:tr>
      <w:tr>
        <w:tc>
          <w:tcPr>
            <w:tcW w:type="dxa" w:w="1361"/>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Code S4</w:t>
            </w:r>
          </w:p>
        </w:tc>
        <w:tc>
          <w:tcPr>
            <w:tcW w:type="dxa" w:w="5443"/>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SHAP TreeExplainer driver — emits shap_importance.json (Python).</w:t>
            </w:r>
          </w:p>
        </w:tc>
        <w:tc>
          <w:tcPr>
            <w:tcW w:type="dxa" w:w="2268"/>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build_shap_supplementary.py</w:t>
            </w:r>
          </w:p>
        </w:tc>
      </w:tr>
      <w:tr>
        <w:tc>
          <w:tcPr>
            <w:tcW w:type="dxa" w:w="1361"/>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Code S5</w:t>
            </w:r>
          </w:p>
        </w:tc>
        <w:tc>
          <w:tcPr>
            <w:tcW w:type="dxa" w:w="5443"/>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H6 archival validation evaluation script (Python).</w:t>
            </w:r>
          </w:p>
        </w:tc>
        <w:tc>
          <w:tcPr>
            <w:tcW w:type="dxa" w:w="2268"/>
            <w:vAlign w:val="center"/>
            <w:tcBorders>
              <w:top w:val="single" w:sz="4" w:space="0" w:color="000000"/>
              <w:left w:val="single" w:sz="4" w:space="0" w:color="000000"/>
              <w:bottom w:val="single" w:sz="4" w:space="0" w:color="000000"/>
              <w:right w:val="single" w:sz="4" w:space="0" w:color="000000"/>
            </w:tcBorders>
          </w:tcPr>
          <w:p>
            <w:pPr>
              <w:spacing w:line="240" w:lineRule="auto" w:before="40" w:after="40"/>
              <w:jc w:val="left"/>
            </w:pPr>
            <w:r/>
            <w:r>
              <w:rPr>
                <w:rFonts w:ascii="Times New Roman" w:hAnsi="Times New Roman" w:cs="Times New Roman" w:eastAsia="Times New Roman"/>
                <w:b w:val="0"/>
                <w:i w:val="0"/>
                <w:sz w:val="22"/>
              </w:rPr>
              <w:t>run_h6_evaluation.py</w:t>
            </w:r>
          </w:p>
        </w:tc>
      </w:tr>
    </w:tbl>
    <w:p>
      <w:pPr>
        <w:spacing w:line="480" w:lineRule="auto" w:before="240" w:after="120"/>
      </w:pPr>
      <w:r>
        <w:rPr>
          <w:rFonts w:ascii="Times New Roman" w:hAnsi="Times New Roman" w:cs="Times New Roman" w:eastAsia="Times New Roman"/>
          <w:b/>
          <w:i w:val="0"/>
          <w:sz w:val="26"/>
        </w:rPr>
        <w:t>Reproducibility notes</w:t>
      </w:r>
    </w:p>
    <w:p>
      <w:pPr>
        <w:spacing w:line="480" w:lineRule="auto" w:before="0" w:after="0"/>
      </w:pPr>
      <w:r>
        <w:rPr>
          <w:rFonts w:ascii="Times New Roman" w:hAnsi="Times New Roman" w:cs="Times New Roman" w:eastAsia="Times New Roman"/>
          <w:b w:val="0"/>
          <w:i w:val="0"/>
          <w:sz w:val="24"/>
        </w:rPr>
        <w:t>All numeric supplementary tables are reproducible from the frozen dataset `data/datasets/cgem_synthetic_v1.parquet` (SHA-256 and master seed recorded in the sidecar `cgem_synthetic_v1.meta.json`) by running:</w:t>
      </w:r>
    </w:p>
    <w:p>
      <w:pPr>
        <w:spacing w:line="480" w:lineRule="auto" w:before="0" w:after="0"/>
      </w:pPr>
      <w:r>
        <w:rPr>
          <w:rFonts w:ascii="Times New Roman" w:hAnsi="Times New Roman" w:cs="Times New Roman" w:eastAsia="Times New Roman"/>
          <w:b w:val="0"/>
          <w:i w:val="0"/>
          <w:sz w:val="24"/>
        </w:rPr>
        <w:t xml:space="preserve">    python scripts/build_supplementary_tables.py</w:t>
      </w:r>
    </w:p>
    <w:p>
      <w:pPr>
        <w:spacing w:line="480" w:lineRule="auto" w:before="0" w:after="0"/>
      </w:pPr>
      <w:r>
        <w:rPr>
          <w:rFonts w:ascii="Times New Roman" w:hAnsi="Times New Roman" w:cs="Times New Roman" w:eastAsia="Times New Roman"/>
          <w:b w:val="0"/>
          <w:i w:val="0"/>
          <w:sz w:val="24"/>
        </w:rPr>
        <w:t xml:space="preserve">    python scripts/render_supplementary_docx.py</w:t>
      </w:r>
    </w:p>
    <w:p>
      <w:pPr>
        <w:spacing w:line="480" w:lineRule="auto" w:before="0" w:after="0"/>
      </w:pPr>
      <w:r>
        <w:rPr>
          <w:rFonts w:ascii="Times New Roman" w:hAnsi="Times New Roman" w:cs="Times New Roman" w:eastAsia="Times New Roman"/>
          <w:b w:val="0"/>
          <w:i w:val="0"/>
          <w:sz w:val="24"/>
        </w:rPr>
        <w:t>Source code is open under the MIT licence at https://github.com/strikerdlm/CAMI-Gz-Effects-Model-CGEM- and the dataset is archived on Zenodo (DOI: TBD at submission) per the Joint Declaration of Data Citation Principles. The data and code are uploaded to the Wiley CNM portal as Data Files; the items in the table above are uploaded as Supporting Information.</w:t>
      </w:r>
    </w:p>
    <w:sectPr w:rsidR="00FC693F" w:rsidRPr="0006063C" w:rsidSect="00034616">
      <w:headerReference w:type="default" r:id="rId9"/>
      <w:pgSz w:w="11906" w:h="16838"/>
      <w:pgMar w:top="1440" w:right="1440" w:bottom="1440" w:left="1440" w:header="720" w:footer="720" w:gutter="0"/>
      <w:cols w:space="720"/>
      <w:docGrid w:linePitch="360"/>
      <w:lnNumType w:countBy="1" w:restart="continuous" w:start="1" w:distan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