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itle-page-ijnmbe-submission"/>
    <w:p>
      <w:pPr>
        <w:pStyle w:val="Heading1"/>
      </w:pPr>
      <w:r>
        <w:t xml:space="preserve">Title page — IJNMBE submission</w:t>
      </w:r>
    </w:p>
    <w:p>
      <w:pPr>
        <w:pStyle w:val="BlockText"/>
      </w:pPr>
      <w:r>
        <w:t xml:space="preserve">Upload this file at the Wiley CNM portal as the</w:t>
      </w:r>
      <w:r>
        <w:t xml:space="preserve"> </w:t>
      </w:r>
      <w:r>
        <w:rPr>
          <w:bCs/>
          <w:b/>
        </w:rPr>
        <w:t xml:space="preserve">Title Page</w:t>
      </w:r>
      <w:r>
        <w:t xml:space="preserve"> </w:t>
      </w:r>
      <w:r>
        <w:t xml:space="preserve">during</w:t>
      </w:r>
      <w:r>
        <w:t xml:space="preserve"> </w:t>
      </w:r>
      <w:r>
        <w:t xml:space="preserve">submission. The IJNMBE peer-review model is</w:t>
      </w:r>
      <w:r>
        <w:t xml:space="preserve"> </w:t>
      </w:r>
      <w:r>
        <w:rPr>
          <w:bCs/>
          <w:b/>
        </w:rPr>
        <w:t xml:space="preserve">single-anonymous</w:t>
      </w:r>
      <w:r>
        <w:t xml:space="preserve"> </w:t>
      </w:r>
      <w:r>
        <w:t xml:space="preserve">(Wiley</w:t>
      </w:r>
      <w:r>
        <w:t xml:space="preserve"> </w:t>
      </w:r>
      <w:r>
        <w:t xml:space="preserve">default; double-anonymous not offered on this title), so author identity</w:t>
      </w:r>
      <w:r>
        <w:t xml:space="preserve"> </w:t>
      </w:r>
      <w:r>
        <w:t xml:space="preserve">is visible to reviewers and the title page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depersonalised.</w:t>
      </w:r>
    </w:p>
    <w:p>
      <w:pPr>
        <w:pStyle w:val="BlockText"/>
      </w:pPr>
      <w:r>
        <w:t xml:space="preserve">All seven Wiley Free-Format mandatory title-page declarations are</w:t>
      </w:r>
      <w:r>
        <w:t xml:space="preserve"> </w:t>
      </w:r>
      <w:r>
        <w:t xml:space="preserve">consolidated below in the order specified by the IJNMBE Author</w:t>
      </w:r>
      <w:r>
        <w:t xml:space="preserve"> </w:t>
      </w:r>
      <w:r>
        <w:t xml:space="preserve">Guidelines (verified 2026-05-01).</w:t>
      </w:r>
    </w:p>
    <w:p>
      <w:r>
        <w:pict>
          <v:rect style="width:0;height:1.5pt" o:hralign="center" o:hrstd="t" o:hr="t"/>
        </w:pict>
      </w:r>
    </w:p>
    <w:bookmarkStart w:id="2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Conformal machine-learning emulation and out-of-distribution detection</w:t>
      </w:r>
      <w:r>
        <w:t xml:space="preserve"> </w:t>
      </w:r>
      <w:r>
        <w:t xml:space="preserve">for the FAA CAMI G-Effects mechanistic model of acceleration physiology.</w:t>
      </w:r>
    </w:p>
    <w:bookmarkEnd w:id="20"/>
    <w:bookmarkStart w:id="21" w:name="Xa418eed12b5826cea14c3776f7012772d40ce11"/>
    <w:p>
      <w:pPr>
        <w:pStyle w:val="Heading2"/>
      </w:pPr>
      <w:r>
        <w:t xml:space="preserve">Short title (≤ 70 characters; for portal entry)</w:t>
      </w:r>
    </w:p>
    <w:p>
      <w:pPr>
        <w:pStyle w:val="FirstParagraph"/>
      </w:pPr>
      <w:r>
        <w:t xml:space="preserve">Conformal ML wrapper for a validated ODE physiological model.</w:t>
      </w:r>
      <w:r>
        <w:t xml:space="preserve"> </w:t>
      </w:r>
      <w:r>
        <w:rPr>
          <w:iCs/>
          <w:i/>
        </w:rPr>
        <w:t xml:space="preserve">(60 characters including spaces.)</w:t>
      </w:r>
    </w:p>
    <w:bookmarkEnd w:id="21"/>
    <w:bookmarkStart w:id="23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Cs/>
          <w:b/>
        </w:rPr>
        <w:t xml:space="preserve">Diego Malpica, MD</w:t>
      </w:r>
      <w:r>
        <w:t xml:space="preserve"> </w:t>
      </w:r>
      <w:r>
        <w:t xml:space="preserve">(sole author).</w:t>
      </w:r>
    </w:p>
    <w:p>
      <w:pPr>
        <w:pStyle w:val="BodyText"/>
      </w:pPr>
      <w:r>
        <w:t xml:space="preserve">ORCID:</w:t>
      </w:r>
      <w:r>
        <w:t xml:space="preserve"> </w:t>
      </w:r>
      <w:hyperlink r:id="rId22">
        <w:r>
          <w:rPr>
            <w:rStyle w:val="Hyperlink"/>
          </w:rPr>
          <w:t xml:space="preserve">0000-0002-2257-4940</w:t>
        </w:r>
      </w:hyperlink>
      <w:r>
        <w:t xml:space="preserve">.</w:t>
      </w:r>
    </w:p>
    <w:p>
      <w:pPr>
        <w:pStyle w:val="BodyText"/>
      </w:pP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</w:p>
    <w:bookmarkEnd w:id="23"/>
    <w:bookmarkStart w:id="25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Diego Malpica, MD</w:t>
      </w:r>
      <w:r>
        <w:t xml:space="preserve"> </w:t>
      </w:r>
      <w:r>
        <w:t xml:space="preserve">Direction of Aerospace Medicine, FAC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Email:</w:t>
      </w:r>
      <w:r>
        <w:t xml:space="preserve"> </w:t>
      </w:r>
      <w:hyperlink r:id="rId24">
        <w:r>
          <w:rPr>
            <w:rStyle w:val="Hyperlink"/>
          </w:rPr>
          <w:t xml:space="preserve">dlmalpica@yahoo.com</w:t>
        </w:r>
      </w:hyperlink>
      <w:r>
        <w:t xml:space="preserve"> </w:t>
      </w:r>
      <w:r>
        <w:t xml:space="preserve">ORCID: 0000-0002-2257-4940.</w:t>
      </w:r>
    </w:p>
    <w:bookmarkEnd w:id="25"/>
    <w:bookmarkStart w:id="26" w:name="author-contributions-credit"/>
    <w:p>
      <w:pPr>
        <w:pStyle w:val="Heading2"/>
      </w:pPr>
      <w:r>
        <w:t xml:space="preserve">Author contributions (CRediT)</w:t>
      </w:r>
    </w:p>
    <w:p>
      <w:pPr>
        <w:pStyle w:val="FirstParagraph"/>
      </w:pPr>
      <w:r>
        <w:t xml:space="preserve">The single author meets all four ICMJE criteria for authorship and</w:t>
      </w:r>
      <w:r>
        <w:t xml:space="preserve"> </w:t>
      </w:r>
      <w:r>
        <w:t xml:space="preserve">covers the full CRediT taxonomy: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Conceptualization</w:t>
      </w:r>
      <w:r>
        <w:t xml:space="preserve"> </w:t>
      </w:r>
      <w:r>
        <w:t xml:space="preserve">— defined the additive ML-extension architecture</w:t>
      </w:r>
      <w:r>
        <w:t xml:space="preserve"> </w:t>
      </w:r>
      <w:r>
        <w:t xml:space="preserve">over the FAA-validated CGEM core.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Methodology</w:t>
      </w:r>
      <w:r>
        <w:t xml:space="preserve"> </w:t>
      </w:r>
      <w:r>
        <w:t xml:space="preserve">— designed the surrogate, Mondrian split-conformal,</w:t>
      </w:r>
      <w:r>
        <w:t xml:space="preserve"> </w:t>
      </w:r>
      <w:r>
        <w:t xml:space="preserve">conformal-distance OOD, and Sobol/Morris pipeline.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</w:t>
      </w:r>
      <w:r>
        <w:t xml:space="preserve"> </w:t>
      </w:r>
      <w:r>
        <w:t xml:space="preserve">— implemented</w:t>
      </w:r>
      <w:r>
        <w:t xml:space="preserve"> </w:t>
      </w:r>
      <w:r>
        <w:rPr>
          <w:rStyle w:val="VerbatimChar"/>
        </w:rPr>
        <w:t xml:space="preserve">cgem_ext</w:t>
      </w:r>
      <w:r>
        <w:t xml:space="preserve"> </w:t>
      </w:r>
      <w:r>
        <w:t xml:space="preserve">(Python), the FastAPI service,</w:t>
      </w:r>
      <w:r>
        <w:t xml:space="preserve"> </w:t>
      </w:r>
      <w:r>
        <w:t xml:space="preserve">and the Vite/React frontend; wrote the test suite.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— pre-registered the protocol on OSF; ran the held-out</w:t>
      </w:r>
      <w:r>
        <w:t xml:space="preserve"> </w:t>
      </w:r>
      <w:r>
        <w:t xml:space="preserve">evaluation with frozen splits.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Formal analysis</w:t>
      </w:r>
      <w:r>
        <w:t xml:space="preserve"> </w:t>
      </w:r>
      <w:r>
        <w:t xml:space="preserve">— computed all reported point estimates, bootstrap</w:t>
      </w:r>
      <w:r>
        <w:t xml:space="preserve"> </w:t>
      </w:r>
      <w:r>
        <w:t xml:space="preserve">CIs, conformal coverage, OOD calibration, and Sobol/Morris indices.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Investigation, Data curation</w:t>
      </w:r>
      <w:r>
        <w:t xml:space="preserve"> </w:t>
      </w:r>
      <w:r>
        <w:t xml:space="preserve">— generated and verified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; logged binary SHA-256 and master seed.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Writing — original draft, review and editing</w:t>
      </w:r>
      <w:r>
        <w:t xml:space="preserve"> </w:t>
      </w:r>
      <w:r>
        <w:t xml:space="preserve">— drafted the entire</w:t>
      </w:r>
      <w:r>
        <w:t xml:space="preserve"> </w:t>
      </w:r>
      <w:r>
        <w:t xml:space="preserve">manuscript and revised it iteratively.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Visualization</w:t>
      </w:r>
      <w:r>
        <w:t xml:space="preserve"> </w:t>
      </w:r>
      <w:r>
        <w:t xml:space="preserve">— designed and rendered all six figures via the</w:t>
      </w:r>
      <w:r>
        <w:t xml:space="preserve"> </w:t>
      </w:r>
      <w:r>
        <w:t xml:space="preserve">ECharts pipeline.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Supervision, Project administration, Funding acquisition</w:t>
      </w:r>
      <w:r>
        <w:t xml:space="preserve"> </w:t>
      </w:r>
      <w:r>
        <w:t xml:space="preserve">— sole</w:t>
      </w:r>
      <w:r>
        <w:t xml:space="preserve"> </w:t>
      </w:r>
      <w:r>
        <w:t xml:space="preserve">responsibility (self-funded).</w:t>
      </w:r>
    </w:p>
    <w:bookmarkEnd w:id="26"/>
    <w:bookmarkStart w:id="34" w:name="Xe6e8f1f789dc76a4709392dc6d90291df467705"/>
    <w:p>
      <w:pPr>
        <w:pStyle w:val="Heading2"/>
      </w:pPr>
      <w:r>
        <w:t xml:space="preserve">Title-page declarations (Wiley Free Format mandatory list)</w:t>
      </w:r>
    </w:p>
    <w:p>
      <w:pPr>
        <w:pStyle w:val="FirstParagraph"/>
      </w:pPr>
      <w:r>
        <w:t xml:space="preserve">The following seven declarations are mandatory on the IJNMBE title page;</w:t>
      </w:r>
      <w:r>
        <w:t xml:space="preserve"> </w:t>
      </w:r>
      <w:r>
        <w:t xml:space="preserve">the same content is mirrored in the cover letter.</w:t>
      </w:r>
    </w:p>
    <w:bookmarkStart w:id="27" w:name="data-availability-statement"/>
    <w:p>
      <w:pPr>
        <w:pStyle w:val="Heading3"/>
      </w:pPr>
      <w:r>
        <w:t xml:space="preserve">1. Data availability statement</w:t>
      </w:r>
    </w:p>
    <w:p>
      <w:pPr>
        <w:pStyle w:val="FirstParagraph"/>
      </w:pPr>
      <w:r>
        <w:t xml:space="preserve">The complete framework is open under the MIT licence at</w:t>
      </w:r>
      <w:r>
        <w:t xml:space="preserve"> </w:t>
      </w:r>
      <w:r>
        <w:rPr>
          <w:rStyle w:val="VerbatimChar"/>
        </w:rPr>
        <w:t xml:space="preserve">https://github.com/strikerdlm/CAMI-Gz-Effects-Model-CGEM-</w:t>
      </w:r>
      <w:r>
        <w:t xml:space="preserve">. The</w:t>
      </w:r>
      <w:r>
        <w:t xml:space="preserve"> </w:t>
      </w:r>
      <w:r>
        <w:t xml:space="preserve">synthetic dataset</w:t>
      </w:r>
      <w:r>
        <w:t xml:space="preserve"> </w:t>
      </w:r>
      <w:r>
        <w:rPr>
          <w:rStyle w:val="VerbatimChar"/>
        </w:rPr>
        <w:t xml:space="preserve">cgem_synthetic_v1.parquet</w:t>
      </w:r>
      <w:r>
        <w:t xml:space="preserve"> </w:t>
      </w:r>
      <w:r>
        <w:t xml:space="preserve">is archived on Zenodo</w:t>
      </w:r>
      <w:r>
        <w:t xml:space="preserve"> </w:t>
      </w:r>
      <w:r>
        <w:t xml:space="preserve">(DOI: TBD at submission) with a sidecar</w:t>
      </w:r>
      <w:r>
        <w:t xml:space="preserve"> </w:t>
      </w:r>
      <w:r>
        <w:rPr>
          <w:rStyle w:val="VerbatimChar"/>
        </w:rPr>
        <w:t xml:space="preserve">cgem_synthetic_v1.meta.json</w:t>
      </w:r>
      <w:r>
        <w:t xml:space="preserve"> </w:t>
      </w:r>
      <w:r>
        <w:t xml:space="preserve">recording the CGEM-binary SHA-256, master seed (42), tier definitions,</w:t>
      </w:r>
      <w:r>
        <w:t xml:space="preserve"> </w:t>
      </w:r>
      <w:r>
        <w:t xml:space="preserve">and package version. A reproducibility Docker image is on GitHub</w:t>
      </w:r>
      <w:r>
        <w:t xml:space="preserve"> </w:t>
      </w:r>
      <w:r>
        <w:t xml:space="preserve">Container Registry (GHCR). The Open Science Framework (OSF)</w:t>
      </w:r>
      <w:r>
        <w:t xml:space="preserve"> </w:t>
      </w:r>
      <w:r>
        <w:t xml:space="preserve">pre-registration locks split indices, success thresholds, and search</w:t>
      </w:r>
      <w:r>
        <w:t xml:space="preserve"> </w:t>
      </w:r>
      <w:r>
        <w:t xml:space="preserve">spaces — URL TBD at submission. The dataset is cited formally in the</w:t>
      </w:r>
      <w:r>
        <w:t xml:space="preserve"> </w:t>
      </w:r>
      <w:r>
        <w:t xml:space="preserve">reference list per the Joint Declaration of Data Citation Principles</w:t>
      </w:r>
      <w:r>
        <w:t xml:space="preserve"> </w:t>
      </w:r>
      <w:r>
        <w:t xml:space="preserve">(reference [22] in the manuscript).</w:t>
      </w:r>
    </w:p>
    <w:p>
      <w:pPr>
        <w:pStyle w:val="BodyText"/>
      </w:pPr>
      <w:r>
        <w:t xml:space="preserve">Data and code will be uploaded to the Wiley CNM portal under the</w:t>
      </w:r>
      <w:r>
        <w:t xml:space="preserve"> </w:t>
      </w:r>
      <w:r>
        <w:rPr>
          <w:bCs/>
          <w:b/>
        </w:rPr>
        <w:t xml:space="preserve">Data Files</w:t>
      </w:r>
      <w:r>
        <w:t xml:space="preserve"> </w:t>
      </w:r>
      <w:r>
        <w:t xml:space="preserve">designation (not as Supporting Information). On</w:t>
      </w:r>
      <w:r>
        <w:t xml:space="preserve"> </w:t>
      </w:r>
      <w:r>
        <w:t xml:space="preserve">acceptance, Wiley deposits Data Files to figshare under CC-Zero by</w:t>
      </w:r>
      <w:r>
        <w:t xml:space="preserve"> </w:t>
      </w:r>
      <w:r>
        <w:t xml:space="preserve">default and assigns a permanent DOI bound to the HTML article.</w:t>
      </w:r>
    </w:p>
    <w:bookmarkEnd w:id="27"/>
    <w:bookmarkStart w:id="28" w:name="funding-statement"/>
    <w:p>
      <w:pPr>
        <w:pStyle w:val="Heading3"/>
      </w:pPr>
      <w:r>
        <w:t xml:space="preserve">2. Funding statement</w:t>
      </w:r>
    </w:p>
    <w:p>
      <w:pPr>
        <w:pStyle w:val="FirstParagraph"/>
      </w:pPr>
      <w:r>
        <w:t xml:space="preserve">This research received no external funding. All work was self-funded by</w:t>
      </w:r>
      <w:r>
        <w:t xml:space="preserve"> </w:t>
      </w:r>
      <w:r>
        <w:t xml:space="preserve">the author.</w:t>
      </w:r>
    </w:p>
    <w:bookmarkEnd w:id="28"/>
    <w:bookmarkStart w:id="29" w:name="conflict-of-interest-disclosure"/>
    <w:p>
      <w:pPr>
        <w:pStyle w:val="Heading3"/>
      </w:pPr>
      <w:r>
        <w:t xml:space="preserve">3. Conflict of interest disclosure</w:t>
      </w:r>
    </w:p>
    <w:p>
      <w:pPr>
        <w:pStyle w:val="FirstParagraph"/>
      </w:pPr>
      <w:r>
        <w:t xml:space="preserve">The author declares no conflicts of interest, financial or otherwise, in</w:t>
      </w:r>
      <w:r>
        <w:t xml:space="preserve"> </w:t>
      </w:r>
      <w:r>
        <w:t xml:space="preserve">relation to this work.</w:t>
      </w:r>
    </w:p>
    <w:bookmarkEnd w:id="29"/>
    <w:bookmarkStart w:id="30" w:name="ethics-approval-statement"/>
    <w:p>
      <w:pPr>
        <w:pStyle w:val="Heading3"/>
      </w:pPr>
      <w:r>
        <w:t xml:space="preserve">4. Ethics approval statement</w:t>
      </w:r>
    </w:p>
    <w:p>
      <w:pPr>
        <w:pStyle w:val="FirstParagraph"/>
      </w:pPr>
      <w:r>
        <w:t xml:space="preserve">n/a — synthetic data only. The study used exclusively synthetic outputs</w:t>
      </w:r>
      <w:r>
        <w:t xml:space="preserve"> </w:t>
      </w:r>
      <w:r>
        <w:t xml:space="preserve">of the FAA CAMI CGEM Fortran ODE model with anthropometric and</w:t>
      </w:r>
      <w:r>
        <w:t xml:space="preserve"> </w:t>
      </w:r>
      <w:r>
        <w:t xml:space="preserve">physiological presets internal to the model. No human or animal subjects</w:t>
      </w:r>
      <w:r>
        <w:t xml:space="preserve"> </w:t>
      </w:r>
      <w:r>
        <w:t xml:space="preserve">were involved; ethics-board approval was therefore not required.</w:t>
      </w:r>
      <w:r>
        <w:t xml:space="preserve"> </w:t>
      </w:r>
      <w:r>
        <w:t xml:space="preserve">Empirical validation against centrifuge subjects is the subject of</w:t>
      </w:r>
      <w:r>
        <w:t xml:space="preserve"> </w:t>
      </w:r>
      <w:r>
        <w:t xml:space="preserve">separate work, reported elsewhere under the appropriate IRB approval.</w:t>
      </w:r>
    </w:p>
    <w:bookmarkEnd w:id="30"/>
    <w:bookmarkStart w:id="31" w:name="patient-consent-statement"/>
    <w:p>
      <w:pPr>
        <w:pStyle w:val="Heading3"/>
      </w:pPr>
      <w:r>
        <w:t xml:space="preserve">5. Patient consent statement</w:t>
      </w:r>
    </w:p>
    <w:p>
      <w:pPr>
        <w:pStyle w:val="FirstParagraph"/>
      </w:pPr>
      <w:r>
        <w:t xml:space="preserve">n/a — no human subjects.</w:t>
      </w:r>
    </w:p>
    <w:bookmarkEnd w:id="31"/>
    <w:bookmarkStart w:id="32" w:name="Xddfb8eea846d96b75c8d9b2b1473947748dc446"/>
    <w:p>
      <w:pPr>
        <w:pStyle w:val="Heading3"/>
      </w:pPr>
      <w:r>
        <w:t xml:space="preserve">6. Permission to reproduce material from other sources</w:t>
      </w:r>
    </w:p>
    <w:p>
      <w:pPr>
        <w:pStyle w:val="FirstParagraph"/>
      </w:pPr>
      <w:r>
        <w:t xml:space="preserve">n/a — all figures, tables, equations, and code are original to this</w:t>
      </w:r>
      <w:r>
        <w:t xml:space="preserve"> </w:t>
      </w:r>
      <w:r>
        <w:t xml:space="preserve">work; no third-party material is reproduced. The FAA CAMI CGEM Fortran</w:t>
      </w:r>
      <w:r>
        <w:t xml:space="preserve"> </w:t>
      </w:r>
      <w:r>
        <w:t xml:space="preserve">source and compiled binary are distributed by the FAA under the FAA’s</w:t>
      </w:r>
      <w:r>
        <w:t xml:space="preserve"> </w:t>
      </w:r>
      <w:r>
        <w:t xml:space="preserve">own terms; this work does not redistribute them.</w:t>
      </w:r>
    </w:p>
    <w:bookmarkEnd w:id="32"/>
    <w:bookmarkStart w:id="33" w:name="clinical-trial-registration"/>
    <w:p>
      <w:pPr>
        <w:pStyle w:val="Heading3"/>
      </w:pPr>
      <w:r>
        <w:t xml:space="preserve">7. Clinical-trial registration</w:t>
      </w:r>
    </w:p>
    <w:p>
      <w:pPr>
        <w:pStyle w:val="FirstParagraph"/>
      </w:pPr>
      <w:r>
        <w:t xml:space="preserve">n/a — methodological / synthetic-data study; no clinical trial.</w:t>
      </w:r>
    </w:p>
    <w:bookmarkEnd w:id="33"/>
    <w:bookmarkEnd w:id="34"/>
    <w:bookmarkStart w:id="35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gratefully acknowledges the FAA Civil Aerospace Medical</w:t>
      </w:r>
      <w:r>
        <w:t xml:space="preserve"> </w:t>
      </w:r>
      <w:r>
        <w:t xml:space="preserve">Institute (CAMI), Oklahoma City, for developing, validating, and openly</w:t>
      </w:r>
      <w:r>
        <w:t xml:space="preserve"> </w:t>
      </w:r>
      <w:r>
        <w:t xml:space="preserve">distributing the CGEM Fortran model (Technical Report DOT/FAA/AM-23/6)</w:t>
      </w:r>
      <w:r>
        <w:t xml:space="preserve"> </w:t>
      </w:r>
      <w:r>
        <w:t xml:space="preserve">on which this extension layer is built.</w:t>
      </w:r>
    </w:p>
    <w:bookmarkEnd w:id="35"/>
    <w:bookmarkStart w:id="36" w:name="word-counts"/>
    <w:p>
      <w:pPr>
        <w:pStyle w:val="Heading2"/>
      </w:pPr>
      <w:r>
        <w:t xml:space="preserve">Word counts</w:t>
      </w:r>
    </w:p>
    <w:p>
      <w:pPr>
        <w:numPr>
          <w:ilvl w:val="0"/>
          <w:numId w:val="1002"/>
        </w:numPr>
        <w:pStyle w:val="Compact"/>
      </w:pPr>
      <w:r>
        <w:t xml:space="preserve">Title: 21 words; 145 characters including spaces. No abbreviations</w:t>
      </w:r>
      <w:r>
        <w:t xml:space="preserve"> </w:t>
      </w:r>
      <w:r>
        <w:t xml:space="preserve">except proper nouns (FAA, CAMI).</w:t>
      </w:r>
    </w:p>
    <w:p>
      <w:pPr>
        <w:numPr>
          <w:ilvl w:val="0"/>
          <w:numId w:val="1002"/>
        </w:numPr>
        <w:pStyle w:val="Compact"/>
      </w:pPr>
      <w:r>
        <w:t xml:space="preserve">Short title: 60 characters including spaces. (Wiley short-title</w:t>
      </w:r>
      <w:r>
        <w:t xml:space="preserve"> </w:t>
      </w:r>
      <w:r>
        <w:t xml:space="preserve">cap ≤ 70.)</w:t>
      </w:r>
    </w:p>
    <w:p>
      <w:pPr>
        <w:numPr>
          <w:ilvl w:val="0"/>
          <w:numId w:val="1002"/>
        </w:numPr>
        <w:pStyle w:val="Compact"/>
      </w:pPr>
      <w:r>
        <w:t xml:space="preserve">Abstract: 368 words. (IJNMBE cap ≤ 400.)</w:t>
      </w:r>
    </w:p>
    <w:p>
      <w:pPr>
        <w:numPr>
          <w:ilvl w:val="0"/>
          <w:numId w:val="1002"/>
        </w:numPr>
        <w:pStyle w:val="Compact"/>
      </w:pPr>
      <w:r>
        <w:t xml:space="preserve">Body (Introduction → Conclusion): ≈ 4,980 words (§3.8 multi-fidelity</w:t>
      </w:r>
      <w:r>
        <w:t xml:space="preserve"> </w:t>
      </w:r>
      <w:r>
        <w:t xml:space="preserve">section removed 2026-05-12). IJNMBE has no stated body-word cap; the</w:t>
      </w:r>
      <w:r>
        <w:t xml:space="preserve"> </w:t>
      </w:r>
      <w:r>
        <w:t xml:space="preserve">length is consistent with recent IJNMBE Research Papers.</w:t>
      </w:r>
    </w:p>
    <w:p>
      <w:pPr>
        <w:numPr>
          <w:ilvl w:val="0"/>
          <w:numId w:val="1002"/>
        </w:numPr>
        <w:pStyle w:val="Compact"/>
      </w:pPr>
      <w:r>
        <w:t xml:space="preserve">References: 27.</w:t>
      </w:r>
    </w:p>
    <w:p>
      <w:pPr>
        <w:numPr>
          <w:ilvl w:val="0"/>
          <w:numId w:val="1002"/>
        </w:numPr>
        <w:pStyle w:val="Compact"/>
      </w:pPr>
      <w:r>
        <w:t xml:space="preserve">Tables: 5.</w:t>
      </w:r>
    </w:p>
    <w:p>
      <w:pPr>
        <w:numPr>
          <w:ilvl w:val="0"/>
          <w:numId w:val="1002"/>
        </w:numPr>
        <w:pStyle w:val="Compact"/>
      </w:pPr>
      <w:r>
        <w:t xml:space="preserve">Figures: 6 (all in main body at submission). At revision stage they</w:t>
      </w:r>
      <w:r>
        <w:t xml:space="preserve"> </w:t>
      </w:r>
      <w:r>
        <w:t xml:space="preserve">will be uploaded as separate files; compound figures (e.g., Fig 1’s</w:t>
      </w:r>
      <w:r>
        <w:t xml:space="preserve"> </w:t>
      </w:r>
      <w:r>
        <w:t xml:space="preserve">panels A–H) will be uploaded as a single file per the IJNMBE rule.</w:t>
      </w:r>
    </w:p>
    <w:p>
      <w:pPr>
        <w:numPr>
          <w:ilvl w:val="0"/>
          <w:numId w:val="1002"/>
        </w:numPr>
        <w:pStyle w:val="Compact"/>
      </w:pPr>
      <w:r>
        <w:t xml:space="preserve">Mandatory separate files: cover letter, Novelty File (≤ 100 words),</w:t>
      </w:r>
      <w:r>
        <w:t xml:space="preserve"> </w:t>
      </w:r>
      <w:r>
        <w:t xml:space="preserve">Graphical Abstract mini-abstract (≤ 80 words / 3 sentences),</w:t>
      </w:r>
      <w:r>
        <w:t xml:space="preserve"> </w:t>
      </w:r>
      <w:r>
        <w:t xml:space="preserve">Graphical Table of Contents image, suggested-reviewer list, Data</w:t>
      </w:r>
      <w:r>
        <w:t xml:space="preserve"> </w:t>
      </w:r>
      <w:r>
        <w:t xml:space="preserve">Files (data + code).</w:t>
      </w:r>
    </w:p>
    <w:bookmarkEnd w:id="36"/>
    <w:bookmarkEnd w:id="37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2" Target="https://orcid.org/0000-0002-2257-4940" TargetMode="External" /><Relationship Type="http://schemas.openxmlformats.org/officeDocument/2006/relationships/hyperlink" Id="rId24" Target="mailto:dlmalpica@yaho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orcid.org/0000-0002-2257-4940" TargetMode="External" /><Relationship Type="http://schemas.openxmlformats.org/officeDocument/2006/relationships/hyperlink" Id="rId24" Target="mailto:dlmalpica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2026-05-12T18:41:03Z</dcterms:created>
  <dcterms:modified xsi:type="dcterms:W3CDTF">2026-05-12T18:41:03Z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