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3612684c686e0f838027dc7092b97b5d576db3"/>
    <w:p>
      <w:pPr>
        <w:pStyle w:val="Heading1"/>
      </w:pPr>
      <w:r>
        <w:t xml:space="preserve">Cover letter —</w:t>
      </w:r>
      <w:r>
        <w:t xml:space="preserve"> </w:t>
      </w:r>
      <w:r>
        <w:rPr>
          <w:iCs/>
          <w:i/>
        </w:rPr>
        <w:t xml:space="preserve">International Journal for Numerical Methods in Biomedical Engineering</w:t>
      </w:r>
      <w:r>
        <w:t xml:space="preserve"> </w:t>
      </w:r>
      <w:r>
        <w:t xml:space="preserve">(IJNMBE)</w:t>
      </w:r>
    </w:p>
    <w:p>
      <w:pPr>
        <w:pStyle w:val="FirstParagraph"/>
      </w:pPr>
      <w:r>
        <w:t xml:space="preserve">[Date: TBD at submission]</w:t>
      </w:r>
    </w:p>
    <w:p>
      <w:pPr>
        <w:pStyle w:val="BodyText"/>
      </w:pPr>
      <w:r>
        <w:t xml:space="preserve">Professor Perumal Nithiarasu</w:t>
      </w:r>
      <w:r>
        <w:t xml:space="preserve"> </w:t>
      </w:r>
      <w:r>
        <w:t xml:space="preserve">Editor-in-Chief,</w:t>
      </w:r>
      <w:r>
        <w:t xml:space="preserve"> </w:t>
      </w:r>
      <w:r>
        <w:rPr>
          <w:iCs/>
          <w:i/>
        </w:rPr>
        <w:t xml:space="preserve">International Journal for Numerical Methods in Biomedical Engineering</w:t>
      </w:r>
      <w:r>
        <w:t xml:space="preserve"> </w:t>
      </w:r>
      <w:r>
        <w:t xml:space="preserve">College of Engineering, Swansea University</w:t>
      </w:r>
      <w:r>
        <w:t xml:space="preserve"> </w:t>
      </w:r>
      <w:r>
        <w:t xml:space="preserve">Swansea, Wales, United Kingdom</w:t>
      </w:r>
    </w:p>
    <w:p>
      <w:pPr>
        <w:pStyle w:val="BodyText"/>
      </w:pPr>
      <w:r>
        <w:rPr>
          <w:iCs/>
          <w:i/>
        </w:rPr>
        <w:t xml:space="preserve">Submitted via the Wiley Authors portal (CNM)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Professor Nithiarasu,</w:t>
      </w:r>
    </w:p>
    <w:p>
      <w:pPr>
        <w:pStyle w:val="BodyText"/>
      </w:pPr>
      <w:r>
        <w:t xml:space="preserve">I am pleased to submit for your consideration a Research Paper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Conformal machine-learning emulation and out-of-distribution detection for</w:t>
      </w:r>
      <w:r>
        <w:rPr>
          <w:bCs/>
          <w:b/>
        </w:rPr>
        <w:t xml:space="preserve"> </w:t>
      </w:r>
      <w:r>
        <w:rPr>
          <w:bCs/>
          <w:b/>
        </w:rPr>
        <w:t xml:space="preserve">the FAA CAMI G-Effects mechanistic model of acceleration physiology</w:t>
      </w:r>
      <w:r>
        <w:rPr>
          <w:bCs/>
          <w:b/>
        </w:rP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Diego Malpica, MD (sole author).</w:t>
      </w:r>
    </w:p>
    <w:p>
      <w:pPr>
        <w:pStyle w:val="BodyText"/>
      </w:pPr>
      <w:r>
        <w:rPr>
          <w:bCs/>
          <w:b/>
        </w:rPr>
        <w:t xml:space="preserve">Why IJNMBE.</w:t>
      </w:r>
      <w:r>
        <w:t xml:space="preserve"> </w:t>
      </w:r>
      <w:r>
        <w:t xml:space="preserve">The manuscript falls within three of IJNMBE’s verified scope</w:t>
      </w:r>
      <w:r>
        <w:t xml:space="preserve"> </w:t>
      </w:r>
      <w:r>
        <w:t xml:space="preserve">clauses simultaneously. (1) The validated core is a</w:t>
      </w:r>
      <w:r>
        <w:t xml:space="preserve"> </w:t>
      </w:r>
      <w:r>
        <w:rPr>
          <w:iCs/>
          <w:i/>
        </w:rPr>
        <w:t xml:space="preserve">differential-equation-</w:t>
      </w:r>
      <w:r>
        <w:rPr>
          <w:iCs/>
          <w:i/>
        </w:rPr>
        <w:t xml:space="preserve"> </w:t>
      </w:r>
      <w:r>
        <w:rPr>
          <w:iCs/>
          <w:i/>
        </w:rPr>
        <w:t xml:space="preserve">based biomedical model</w:t>
      </w:r>
      <w:r>
        <w:t xml:space="preserve"> </w:t>
      </w:r>
      <w:r>
        <w:t xml:space="preserve">— the FAA Civil Aerospace Medical Institute’s CGEM, a</w:t>
      </w:r>
      <w:r>
        <w:t xml:space="preserve"> </w:t>
      </w:r>
      <w:r>
        <w:t xml:space="preserve">Fortran-implemented system of ordinary differential equations governing</w:t>
      </w:r>
      <w:r>
        <w:t xml:space="preserve"> </w:t>
      </w:r>
      <w:r>
        <w:t xml:space="preserve">cardiovascular and cerebrovascular response under sustained +Gz load. (2) The</w:t>
      </w:r>
      <w:r>
        <w:t xml:space="preserve"> </w:t>
      </w:r>
      <w:r>
        <w:t xml:space="preserve">extension layer is an</w:t>
      </w:r>
      <w:r>
        <w:t xml:space="preserve"> </w:t>
      </w:r>
      <w:r>
        <w:rPr>
          <w:iCs/>
          <w:i/>
        </w:rPr>
        <w:t xml:space="preserve">artificial-intelligence wrapper</w:t>
      </w:r>
      <w:r>
        <w:t xml:space="preserve"> </w:t>
      </w:r>
      <w:r>
        <w:t xml:space="preserve">— explicitly within</w:t>
      </w:r>
      <w:r>
        <w:t xml:space="preserve"> </w:t>
      </w:r>
      <w:r>
        <w:t xml:space="preserve">scope per the journal’s</w:t>
      </w:r>
      <w:r>
        <w:t xml:space="preserve"> </w:t>
      </w:r>
      <w:r>
        <w:t xml:space="preserve">“</w:t>
      </w:r>
      <w:r>
        <w:t xml:space="preserve">special cases that may not involve differential</w:t>
      </w:r>
      <w:r>
        <w:t xml:space="preserve"> </w:t>
      </w:r>
      <w:r>
        <w:t xml:space="preserve">equations such as image processing, meshing and artificial intelligence are</w:t>
      </w:r>
      <w:r>
        <w:t xml:space="preserve"> </w:t>
      </w:r>
      <w:r>
        <w:t xml:space="preserve">within the scope</w:t>
      </w:r>
      <w:r>
        <w:t xml:space="preserve">”</w:t>
      </w:r>
      <w:r>
        <w:t xml:space="preserve"> </w:t>
      </w:r>
      <w:r>
        <w:t xml:space="preserve">clause. (3) The application is</w:t>
      </w:r>
      <w:r>
        <w:t xml:space="preserve"> </w:t>
      </w:r>
      <w:r>
        <w:rPr>
          <w:iCs/>
          <w:i/>
        </w:rPr>
        <w:t xml:space="preserve">broadly linked to the</w:t>
      </w:r>
      <w:r>
        <w:rPr>
          <w:iCs/>
          <w:i/>
        </w:rPr>
        <w:t xml:space="preserve"> </w:t>
      </w:r>
      <w:r>
        <w:rPr>
          <w:iCs/>
          <w:i/>
        </w:rPr>
        <w:t xml:space="preserve">wellbeing of the human body</w:t>
      </w:r>
      <w:r>
        <w:t xml:space="preserve"> </w:t>
      </w:r>
      <w:r>
        <w:t xml:space="preserve">— G-induced loss of consciousness remains an</w:t>
      </w:r>
      <w:r>
        <w:t xml:space="preserve"> </w:t>
      </w:r>
      <w:r>
        <w:t xml:space="preserve">established occupational risk in fighter, aerobatic, and high-performance</w:t>
      </w:r>
      <w:r>
        <w:t xml:space="preserve"> </w:t>
      </w:r>
      <w:r>
        <w:t xml:space="preserve">fixed-wing aviation, and the framework is delivered as an open Python</w:t>
      </w:r>
      <w:r>
        <w:t xml:space="preserve"> </w:t>
      </w:r>
      <w:r>
        <w:t xml:space="preserve">package, FastAPI service, and Docker image suitable for downstream operational</w:t>
      </w:r>
      <w:r>
        <w:t xml:space="preserve"> </w:t>
      </w:r>
      <w:r>
        <w:t xml:space="preserve">research. The methodological neighbourhood — surrogate emulation of validated</w:t>
      </w:r>
      <w:r>
        <w:t xml:space="preserve"> </w:t>
      </w:r>
      <w:r>
        <w:t xml:space="preserve">biomedical ODE solvers with calibrated uncertainty — is well-represented in</w:t>
      </w:r>
      <w:r>
        <w:t xml:space="preserve"> </w:t>
      </w:r>
      <w:r>
        <w:t xml:space="preserve">recent IJNMBE issues (e.g., inverse uncertainty quantification of mechanical</w:t>
      </w:r>
      <w:r>
        <w:t xml:space="preserve"> </w:t>
      </w:r>
      <w:r>
        <w:t xml:space="preserve">arterial-tissue models with ML surrogates; benchmark studies of one-dimensional</w:t>
      </w:r>
      <w:r>
        <w:t xml:space="preserve"> </w:t>
      </w:r>
      <w:r>
        <w:t xml:space="preserve">arterial blood-flow numerical schemes).</w:t>
      </w:r>
    </w:p>
    <w:p>
      <w:pPr>
        <w:pStyle w:val="BodyText"/>
      </w:pPr>
      <w:r>
        <w:rPr>
          <w:bCs/>
          <w:b/>
        </w:rPr>
        <w:t xml:space="preserve">Non-standard contribution — explicit pre-emption of the scope filter.</w:t>
      </w:r>
      <w:r>
        <w:t xml:space="preserve"> </w:t>
      </w:r>
      <w:r>
        <w:t xml:space="preserve">The journal’s guidance reminds authors that</w:t>
      </w:r>
      <w:r>
        <w:t xml:space="preserve"> </w:t>
      </w:r>
      <w:r>
        <w:t xml:space="preserve">“</w:t>
      </w:r>
      <w:r>
        <w:t xml:space="preserve">application of a standard</w:t>
      </w:r>
      <w:r>
        <w:t xml:space="preserve"> </w:t>
      </w:r>
      <w:r>
        <w:t xml:space="preserve">numerical procedure to a standard problem is not within the scope</w:t>
      </w:r>
      <w:r>
        <w:t xml:space="preserve">”</w:t>
      </w:r>
      <w:r>
        <w:t xml:space="preserve">. The</w:t>
      </w:r>
      <w:r>
        <w:t xml:space="preserve"> </w:t>
      </w:r>
      <w:r>
        <w:t xml:space="preserve">contribution of this paper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“</w:t>
      </w:r>
      <w:r>
        <w:t xml:space="preserve">we applied XGBoost to a Fortran model</w:t>
      </w:r>
      <w:r>
        <w:t xml:space="preserve">”</w:t>
      </w:r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r>
        <w:rPr>
          <w:bCs/>
          <w:b/>
        </w:rPr>
        <w:t xml:space="preserve">combined methodological stack</w:t>
      </w:r>
      <w:r>
        <w:t xml:space="preserve">: (i) a two-stage classifier-then-</w:t>
      </w:r>
      <w:r>
        <w:t xml:space="preserve"> </w:t>
      </w:r>
      <w:r>
        <w:t xml:space="preserve">regressor pattern for right-censored event-time targets, wrapped by a</w:t>
      </w:r>
      <w:r>
        <w:t xml:space="preserve"> </w:t>
      </w:r>
      <w:r>
        <w:rPr>
          <w:iCs/>
          <w:i/>
        </w:rPr>
        <w:t xml:space="preserve">heteroscedastic</w:t>
      </w:r>
      <w:r>
        <w:t xml:space="preserve"> </w:t>
      </w:r>
      <w:r>
        <w:t xml:space="preserve">maneuver-category-stratified Conformalized Quantile</w:t>
      </w:r>
      <w:r>
        <w:t xml:space="preserve"> </w:t>
      </w:r>
      <w:r>
        <w:t xml:space="preserve">Regression layer (Romano, Patterson &amp; Candès 2019) that restores empirical</w:t>
      </w:r>
      <w:r>
        <w:t xml:space="preserve"> </w:t>
      </w:r>
      <w:r>
        <w:t xml:space="preserve">coverage on the long-tailed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target from 0.861 to 0.972 on</w:t>
      </w:r>
      <w:r>
        <w:t xml:space="preserve"> </w:t>
      </w:r>
      <w:r>
        <w:t xml:space="preserve">the OSF-pre-registered held-out test split (pre-registered as OSF amendment</w:t>
      </w:r>
      <w:r>
        <w:t xml:space="preserve"> </w:t>
      </w:r>
      <w:r>
        <w:t xml:space="preserve">2026-05-06 hypothesis H5); (ii) Mondrian split-conformal prediction intervals</w:t>
      </w:r>
      <w:r>
        <w:t xml:space="preserve"> </w:t>
      </w:r>
      <w:r>
        <w:t xml:space="preserve">stratified</w:t>
      </w:r>
      <w:r>
        <w:t xml:space="preserve"> </w:t>
      </w:r>
      <w:r>
        <w:rPr>
          <w:iCs/>
          <w:i/>
        </w:rPr>
        <w:t xml:space="preserve">by maneuver category</w:t>
      </w:r>
      <w:r>
        <w:t xml:space="preserve"> </w:t>
      </w:r>
      <w:r>
        <w:t xml:space="preserve">(rather than the more common pooled</w:t>
      </w:r>
      <w:r>
        <w:t xml:space="preserve"> </w:t>
      </w:r>
      <w:r>
        <w:t xml:space="preserve">calibration), so that conformal coverage is preserved within operational</w:t>
      </w:r>
      <w:r>
        <w:t xml:space="preserve"> </w:t>
      </w:r>
      <w:r>
        <w:t xml:space="preserve">sub-populations of inputs, with under-coverage at low-event-rate strata</w:t>
      </w:r>
      <w:r>
        <w:t xml:space="preserve"> </w:t>
      </w:r>
      <w:r>
        <w:t xml:space="preserve">declared transparently rather than masked by global pooling; and</w:t>
      </w:r>
      <w:r>
        <w:t xml:space="preserve"> </w:t>
      </w:r>
      <w:r>
        <w:t xml:space="preserve">(iii) a robust-Mahalanobis distance detector calibrated by</w:t>
      </w:r>
      <w:r>
        <w:t xml:space="preserve"> </w:t>
      </w:r>
      <w:r>
        <w:rPr>
          <w:iCs/>
          <w:i/>
        </w:rPr>
        <w:t xml:space="preserve">distribution-free</w:t>
      </w:r>
      <w:r>
        <w:rPr>
          <w:iCs/>
          <w:i/>
        </w:rPr>
        <w:t xml:space="preserve"> </w:t>
      </w:r>
      <w:r>
        <w:rPr>
          <w:iCs/>
          <w:i/>
        </w:rPr>
        <w:t xml:space="preserve">conformal abstention</w:t>
      </w:r>
      <w:r>
        <w:t xml:space="preserve"> </w:t>
      </w:r>
      <w:r>
        <w:t xml:space="preserve">over a 17-dimensional mixed numeric/categorical input</w:t>
      </w:r>
      <w:r>
        <w:t xml:space="preserve"> </w:t>
      </w:r>
      <w:r>
        <w:t xml:space="preserve">space, providing an operationally meaningful in-envelope guarantee that does</w:t>
      </w:r>
      <w:r>
        <w:t xml:space="preserve"> </w:t>
      </w:r>
      <w:r>
        <w:t xml:space="preserve">not assume Gaussianity of the score. To my knowledge no prior work combines</w:t>
      </w:r>
      <w:r>
        <w:t xml:space="preserve"> </w:t>
      </w:r>
      <w:r>
        <w:t xml:space="preserve">these three elements over a validated regulatory ODE physiological model;</w:t>
      </w:r>
      <w:r>
        <w:t xml:space="preserve"> </w:t>
      </w:r>
      <w:r>
        <w:t xml:space="preserve">the CQR application to a two-stage right-censored aerospace-medicine target</w:t>
      </w:r>
      <w:r>
        <w:t xml:space="preserve"> </w:t>
      </w:r>
      <w:r>
        <w:t xml:space="preserve">is, specifically, novel.</w:t>
      </w:r>
    </w:p>
    <w:p>
      <w:pPr>
        <w:pStyle w:val="BodyText"/>
      </w:pPr>
      <w:r>
        <w:rPr>
          <w:bCs/>
          <w:b/>
        </w:rPr>
        <w:t xml:space="preserve">Key empirical anchors</w:t>
      </w:r>
      <w:r>
        <w:t xml:space="preserve"> </w:t>
      </w:r>
      <w:r>
        <w:t xml:space="preserve">on the pre-registered held-out test split: conformal</w:t>
      </w:r>
      <w:r>
        <w:t xml:space="preserve"> </w:t>
      </w:r>
      <w:r>
        <w:t xml:space="preserve">OOD calibration of 0.953 versus the nominal 0.95 (within 0.3 pp), with the</w:t>
      </w:r>
      <w:r>
        <w:t xml:space="preserve"> </w:t>
      </w:r>
      <w:r>
        <w:t xml:space="preserve">conformal threshold ~3× the parametric χ²(17, 0.95) cutoff; conformal coverage</w:t>
      </w:r>
      <w:r>
        <w:t xml:space="preserve"> </w:t>
      </w:r>
      <w:r>
        <w:t xml:space="preserve">within 5 percentage points of nominal 95 % on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5 surrogate targets</w:t>
      </w:r>
      <w:r>
        <w:t xml:space="preserve"> </w:t>
      </w:r>
      <w:r>
        <w:t xml:space="preserve">once the heteroscedastic CQR layer replaces the homoscedastic Mondrian</w:t>
      </w:r>
      <w:r>
        <w:t xml:space="preserve"> </w:t>
      </w:r>
      <w:r>
        <w:t xml:space="preserve">baseline on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(0.861 → 0.972, n = 36 event-positive test</w:t>
      </w:r>
      <w:r>
        <w:t xml:space="preserve"> </w:t>
      </w:r>
      <w:r>
        <w:t xml:space="preserve">rows); XGBoost regressor R² = 0.82–0.90 on event-positive rows of censored</w:t>
      </w:r>
      <w:r>
        <w:t xml:space="preserve"> </w:t>
      </w:r>
      <w:r>
        <w:t xml:space="preserve">targets and 0.94–1.00 on continuous targets; classifier AUROC ≥ 0.996 across</w:t>
      </w:r>
      <w:r>
        <w:t xml:space="preserve"> </w:t>
      </w:r>
      <w:r>
        <w:t xml:space="preserve">the three event targets, presented as a sanity check on a deterministic</w:t>
      </w:r>
      <w:r>
        <w:t xml:space="preserve"> </w:t>
      </w:r>
      <w:r>
        <w:t xml:space="preserve">data-generating process rather than a primary claim. The surrogate evaluates</w:t>
      </w:r>
      <w:r>
        <w:t xml:space="preserve"> </w:t>
      </w:r>
      <w:r>
        <w:t xml:space="preserve">in ~50 µs per row versus ~9 ms for direct CGEM subprocess invocation, which</w:t>
      </w:r>
      <w:r>
        <w:t xml:space="preserve"> </w:t>
      </w:r>
      <w:r>
        <w:t xml:space="preserve">makes the 20,480-evaluation Saltelli Sobol sweep in §3.6 tractable inside a</w:t>
      </w:r>
      <w:r>
        <w:t xml:space="preserve"> </w:t>
      </w:r>
      <w:r>
        <w:t xml:space="preserve">manuscript-preparation cycle. The validation protocol was pre-registered on</w:t>
      </w:r>
      <w:r>
        <w:t xml:space="preserve"> </w:t>
      </w:r>
      <w:r>
        <w:t xml:space="preserve">the Open Science Framework before any test-set evaluation; the CQR layer</w:t>
      </w:r>
      <w:r>
        <w:t xml:space="preserve"> </w:t>
      </w:r>
      <w:r>
        <w:t xml:space="preserve">and the archival-validation arm were added under a 2026-05-06 OSF amendment</w:t>
      </w:r>
      <w:r>
        <w:t xml:space="preserve"> </w:t>
      </w:r>
      <w:r>
        <w:t xml:space="preserve">(H5, H6) before any test-set evaluation under those new hypotheses.</w:t>
      </w:r>
    </w:p>
    <w:p>
      <w:pPr>
        <w:pStyle w:val="BodyText"/>
      </w:pPr>
      <w:r>
        <w:rPr>
          <w:bCs/>
          <w:b/>
        </w:rPr>
        <w:t xml:space="preserve">Boundary of the present paper.</w:t>
      </w:r>
      <w:r>
        <w:t xml:space="preserve"> </w:t>
      </w:r>
      <w:r>
        <w:t xml:space="preserve">The framework is validated against CGEM</w:t>
      </w:r>
      <w:r>
        <w:t xml:space="preserve"> </w:t>
      </w:r>
      <w:r>
        <w:t xml:space="preserve">itself as ground truth. External validation against archival centrifuge</w:t>
      </w:r>
      <w:r>
        <w:t xml:space="preserve"> </w:t>
      </w:r>
      <w:r>
        <w:t xml:space="preserve">data and against own-centrifuge subjects is the subject of separate work</w:t>
      </w:r>
      <w:r>
        <w:t xml:space="preserve"> </w:t>
      </w:r>
      <w:r>
        <w:t xml:space="preserve">and is not claimed in this manuscript.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Declarations</w:t>
      </w:r>
      <w:r>
        <w:t xml:space="preserve"> </w:t>
      </w:r>
      <w:r>
        <w:t xml:space="preserve">(Wiley Free Format title-page mandatory list):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Originality.</w:t>
      </w:r>
      <w:r>
        <w:t xml:space="preserve"> </w:t>
      </w:r>
      <w:r>
        <w:t xml:space="preserve">This manuscript reports original work that has not been</w:t>
      </w:r>
      <w:r>
        <w:t xml:space="preserve"> </w:t>
      </w:r>
      <w:r>
        <w:t xml:space="preserve">published or accepted elsewhere and is not under concurrent consideration</w:t>
      </w:r>
      <w:r>
        <w:t xml:space="preserve"> </w:t>
      </w:r>
      <w:r>
        <w:t xml:space="preserve">by another journal.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Conflict of interest.</w:t>
      </w:r>
      <w:r>
        <w:t xml:space="preserve"> </w:t>
      </w:r>
      <w:r>
        <w:t xml:space="preserve">The author declares no conflicts of interest.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Funding.</w:t>
      </w:r>
      <w:r>
        <w:t xml:space="preserve"> </w:t>
      </w:r>
      <w:r>
        <w:t xml:space="preserve">This research received no external funding. All work was</w:t>
      </w:r>
      <w:r>
        <w:t xml:space="preserve"> </w:t>
      </w:r>
      <w:r>
        <w:t xml:space="preserve">self-funded.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Ethics approval.</w:t>
      </w:r>
      <w:r>
        <w:t xml:space="preserve"> </w:t>
      </w:r>
      <w:r>
        <w:t xml:space="preserve">n/a — synthetic data only. No human or animal</w:t>
      </w:r>
      <w:r>
        <w:t xml:space="preserve"> </w:t>
      </w:r>
      <w:r>
        <w:t xml:space="preserve">subjects were studied. Companion paper 3 (in preparation) reports own-</w:t>
      </w:r>
      <w:r>
        <w:t xml:space="preserve"> </w:t>
      </w:r>
      <w:r>
        <w:t xml:space="preserve">centrifuge work under separate IRB approval at the relevant site.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 consent.</w:t>
      </w:r>
      <w:r>
        <w:t xml:space="preserve"> </w:t>
      </w:r>
      <w:r>
        <w:t xml:space="preserve">n/a — no human subjects.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Permission to reproduce third-party material.</w:t>
      </w:r>
      <w:r>
        <w:t xml:space="preserve"> </w:t>
      </w:r>
      <w:r>
        <w:t xml:space="preserve">n/a — all figures,</w:t>
      </w:r>
      <w:r>
        <w:t xml:space="preserve"> </w:t>
      </w:r>
      <w:r>
        <w:t xml:space="preserve">tables, and code are original to this work; no third-party material is</w:t>
      </w:r>
      <w:r>
        <w:t xml:space="preserve"> </w:t>
      </w:r>
      <w:r>
        <w:t xml:space="preserve">reproduced.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Clinical-trial registration.</w:t>
      </w:r>
      <w:r>
        <w:t xml:space="preserve"> </w:t>
      </w:r>
      <w:r>
        <w:t xml:space="preserve">n/a — methodological / synthetic-data</w:t>
      </w:r>
      <w:r>
        <w:t xml:space="preserve"> </w:t>
      </w:r>
      <w:r>
        <w:t xml:space="preserve">study; no clinical trial.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and code availability.</w:t>
      </w:r>
      <w:r>
        <w:t xml:space="preserve"> </w:t>
      </w:r>
      <w:r>
        <w:t xml:space="preserve">Source code (MIT licence) is at</w:t>
      </w:r>
      <w:r>
        <w:t xml:space="preserve"> </w:t>
      </w:r>
      <w:r>
        <w:rPr>
          <w:rStyle w:val="VerbatimChar"/>
        </w:rPr>
        <w:t xml:space="preserve">https://github.com/strikerdlm/CAMI-Gz-Effects-Model-CGEM-</w:t>
      </w:r>
      <w:r>
        <w:t xml:space="preserve">; the synthetic</w:t>
      </w:r>
      <w:r>
        <w:t xml:space="preserve"> </w:t>
      </w:r>
      <w:r>
        <w:t xml:space="preserve">dataset</w:t>
      </w:r>
      <w:r>
        <w:t xml:space="preserve"> </w:t>
      </w:r>
      <w:r>
        <w:rPr>
          <w:rStyle w:val="VerbatimChar"/>
        </w:rPr>
        <w:t xml:space="preserve">cgem_synthetic_v1.parquet</w:t>
      </w:r>
      <w:r>
        <w:t xml:space="preserve"> </w:t>
      </w:r>
      <w:r>
        <w:t xml:space="preserve">is archived on Zenodo (DOI: TBD at</w:t>
      </w:r>
      <w:r>
        <w:t xml:space="preserve"> </w:t>
      </w:r>
      <w:r>
        <w:t xml:space="preserve">submission); a reproducibility Docker image is on GitHub Container</w:t>
      </w:r>
      <w:r>
        <w:t xml:space="preserve"> </w:t>
      </w:r>
      <w:r>
        <w:t xml:space="preserve">Registry (GHCR); the OSF pre-registration is at: TBD at submission. Data</w:t>
      </w:r>
      <w:r>
        <w:t xml:space="preserve"> </w:t>
      </w:r>
      <w:r>
        <w:t xml:space="preserve">and code will be uploaded to the portal as</w:t>
      </w:r>
      <w:r>
        <w:t xml:space="preserve"> </w:t>
      </w:r>
      <w:r>
        <w:rPr>
          <w:bCs/>
          <w:b/>
        </w:rPr>
        <w:t xml:space="preserve">Data Files</w:t>
      </w:r>
      <w:r>
        <w:t xml:space="preserve"> </w:t>
      </w:r>
      <w:r>
        <w:t xml:space="preserve">(not as</w:t>
      </w:r>
      <w:r>
        <w:t xml:space="preserve"> </w:t>
      </w:r>
      <w:r>
        <w:t xml:space="preserve">Supporting Information) and the dataset is cited formally in the</w:t>
      </w:r>
      <w:r>
        <w:t xml:space="preserve"> </w:t>
      </w:r>
      <w:r>
        <w:t xml:space="preserve">reference list per the Joint Declaration of Data Citation Principles.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Preprint.</w:t>
      </w:r>
      <w:r>
        <w:t xml:space="preserve"> </w:t>
      </w:r>
      <w:r>
        <w:t xml:space="preserve">TBD at submission — if a preprint is posted on arXiv prior</w:t>
      </w:r>
      <w:r>
        <w:t xml:space="preserve"> </w:t>
      </w:r>
      <w:r>
        <w:t xml:space="preserve">to portal entry, it will be done under a non-exclusive licence per</w:t>
      </w:r>
      <w:r>
        <w:t xml:space="preserve"> </w:t>
      </w:r>
      <w:r>
        <w:t xml:space="preserve">IJNMBE’s preprint policy, and this declaration will be updated to cite</w:t>
      </w:r>
      <w:r>
        <w:t xml:space="preserve"> </w:t>
      </w:r>
      <w:r>
        <w:t xml:space="preserve">the arXiv URL.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Suggested reviewers.</w:t>
      </w:r>
      <w:r>
        <w:t xml:space="preserve"> </w:t>
      </w:r>
      <w:r>
        <w:t xml:space="preserve">Five candidates are listed in the accompanying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suggested_reviewers_ijnmbe.md</w:t>
      </w:r>
      <w:r>
        <w:t xml:space="preserve">. None has co-authored with the</w:t>
      </w:r>
      <w:r>
        <w:t xml:space="preserve"> </w:t>
      </w:r>
      <w:r>
        <w:t xml:space="preserve">corresponding author in the past three years; none shares an institution</w:t>
      </w:r>
      <w:r>
        <w:t xml:space="preserve"> </w:t>
      </w:r>
      <w:r>
        <w:t xml:space="preserve">with the author; and the slate is verified against the IJNMBE editorial</w:t>
      </w:r>
      <w:r>
        <w:t xml:space="preserve"> </w:t>
      </w:r>
      <w:r>
        <w:t xml:space="preserve">board.</w:t>
      </w:r>
    </w:p>
    <w:p>
      <w:pPr>
        <w:pStyle w:val="FirstParagraph"/>
      </w:pPr>
      <w:r>
        <w:t xml:space="preserve">The mandatory</w:t>
      </w:r>
      <w:r>
        <w:t xml:space="preserve"> </w:t>
      </w:r>
      <w:r>
        <w:rPr>
          <w:bCs/>
          <w:b/>
        </w:rPr>
        <w:t xml:space="preserve">Novelty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novelty_file_ijnmbe.md</w:t>
      </w:r>
      <w:r>
        <w:t xml:space="preserve">, ≤ 100 words,</w:t>
      </w:r>
      <w:r>
        <w:t xml:space="preserve"> </w:t>
      </w:r>
      <w:r>
        <w:t xml:space="preserve">itemised) and the mandatory</w:t>
      </w:r>
      <w:r>
        <w:t xml:space="preserve"> </w:t>
      </w:r>
      <w:r>
        <w:rPr>
          <w:bCs/>
          <w:b/>
        </w:rPr>
        <w:t xml:space="preserve">Graphical Abstract / Graphical Table of</w:t>
      </w:r>
      <w:r>
        <w:rPr>
          <w:bCs/>
          <w:b/>
        </w:rP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graphical_abstract_ijnmbe.md</w:t>
      </w:r>
      <w:r>
        <w:t xml:space="preserve"> </w:t>
      </w:r>
      <w:r>
        <w:t xml:space="preserve">plus the rendered TOC graphic) are</w:t>
      </w:r>
      <w:r>
        <w:t xml:space="preserve"> </w:t>
      </w:r>
      <w:r>
        <w:t xml:space="preserve">provided as separate uploads per the IJNMBE Author Guidelines.</w:t>
      </w:r>
    </w:p>
    <w:p>
      <w:pPr>
        <w:pStyle w:val="BodyText"/>
      </w:pPr>
      <w:r>
        <w:t xml:space="preserve">I confirm that this manuscript has not been published previously and is not</w:t>
      </w:r>
      <w:r>
        <w:t xml:space="preserve"> </w:t>
      </w:r>
      <w:r>
        <w:t xml:space="preserve">under consideration at another journal. Thank you and the editorial board for</w:t>
      </w:r>
      <w:r>
        <w:t xml:space="preserve"> </w:t>
      </w:r>
      <w:r>
        <w:t xml:space="preserve">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Diego Malpica, MD</w:t>
      </w:r>
      <w:r>
        <w:t xml:space="preserve"> </w:t>
      </w: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0000-0002-2257-4940</w:t>
        </w:r>
      </w:hyperlink>
      <w:r>
        <w:t xml:space="preserve"> </w:t>
      </w:r>
      <w:hyperlink r:id="rId21">
        <w:r>
          <w:rPr>
            <w:rStyle w:val="Hyperlink"/>
          </w:rPr>
          <w:t xml:space="preserve">dlmalpica@yahoo.com</w:t>
        </w:r>
      </w:hyperlink>
    </w:p>
    <w:bookmarkEnd w:id="22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orcid.org/0000-0002-2257-4940" TargetMode="External" /><Relationship Type="http://schemas.openxmlformats.org/officeDocument/2006/relationships/hyperlink" Id="rId21" Target="mailto:dlmalpica@yaho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2-2257-4940" TargetMode="External" /><Relationship Type="http://schemas.openxmlformats.org/officeDocument/2006/relationships/hyperlink" Id="rId21" Target="mailto:dlmalpica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2026-05-12T18:41:03Z</dcterms:created>
  <dcterms:modified xsi:type="dcterms:W3CDTF">2026-05-12T18:41:03Z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