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velty-file-ijnmbe-submission"/>
    <w:p>
      <w:pPr>
        <w:pStyle w:val="Heading1"/>
      </w:pPr>
      <w:r>
        <w:t xml:space="preserve">Novelty File — IJNMBE submission</w:t>
      </w:r>
    </w:p>
    <w:p>
      <w:pPr>
        <w:pStyle w:val="BlockText"/>
      </w:pPr>
      <w:r>
        <w:rPr>
          <w:bCs/>
          <w:b/>
        </w:rPr>
        <w:t xml:space="preserve">Mandatory file at IJNMBE.</w:t>
      </w:r>
      <w:r>
        <w:t xml:space="preserve"> </w:t>
      </w:r>
      <w:r>
        <w:t xml:space="preserve">Itemised list, ≤ 100 words,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duplicate of the abstract. Read by the editor as a fast filter against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 standard procedure on standard problem</w:t>
      </w:r>
      <w:r>
        <w:t xml:space="preserve">”</w:t>
      </w:r>
      <w:r>
        <w:t xml:space="preserve"> </w:t>
      </w:r>
      <w:r>
        <w:t xml:space="preserve">scope clause. Upload to</w:t>
      </w:r>
      <w:r>
        <w:t xml:space="preserve"> </w:t>
      </w:r>
      <w:r>
        <w:t xml:space="preserve">the Wiley CNM portal as the</w:t>
      </w:r>
      <w:r>
        <w:t xml:space="preserve"> </w:t>
      </w:r>
      <w:r>
        <w:rPr>
          <w:bCs/>
          <w:b/>
        </w:rPr>
        <w:t xml:space="preserve">Novelty File</w:t>
      </w:r>
      <w:r>
        <w:t xml:space="preserve"> </w:t>
      </w:r>
      <w:r>
        <w:t xml:space="preserve">designation.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Conformal machine-learning emulation and out-of-distribution</w:t>
      </w:r>
      <w:r>
        <w:t xml:space="preserve"> </w:t>
      </w:r>
      <w:r>
        <w:t xml:space="preserve">detection for the FAA CAMI G-Effects mechanistic model of acceleration</w:t>
      </w:r>
      <w:r>
        <w:t xml:space="preserve"> </w:t>
      </w:r>
      <w:r>
        <w:t xml:space="preserve">physiology.</w:t>
      </w:r>
    </w:p>
    <w:p>
      <w:pPr>
        <w:pStyle w:val="BodyText"/>
      </w:pPr>
      <w:r>
        <w:rPr>
          <w:bCs/>
          <w:b/>
        </w:rPr>
        <w:t xml:space="preserve">New contributions of this paper to the field: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Heteroscedastic Conformalized Quantile Regression</w:t>
      </w:r>
      <w:r>
        <w:t xml:space="preserve"> </w:t>
      </w:r>
      <w:r>
        <w:t xml:space="preserve">wrapping a</w:t>
      </w:r>
      <w:r>
        <w:t xml:space="preserve"> </w:t>
      </w:r>
      <w:r>
        <w:t xml:space="preserve">two-stage classifier-then-regressor pattern for right-censored</w:t>
      </w:r>
      <w:r>
        <w:t xml:space="preserve"> </w:t>
      </w:r>
      <w:r>
        <w:t xml:space="preserve">event-time targets on a regulatory ODE physiological model — the</w:t>
      </w:r>
      <w:r>
        <w:t xml:space="preserve"> </w:t>
      </w:r>
      <w:r>
        <w:t xml:space="preserve">first such combination, to our knowledge.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Distribution-free conformal abstention on a robust-Mahalanobis</w:t>
      </w:r>
      <w:r>
        <w:rPr>
          <w:bCs/>
          <w:b/>
        </w:rPr>
        <w:t xml:space="preserve"> </w:t>
      </w:r>
      <w:r>
        <w:rPr>
          <w:bCs/>
          <w:b/>
        </w:rPr>
        <w:t xml:space="preserve">out-of-distribution detector</w:t>
      </w:r>
      <w:r>
        <w:t xml:space="preserve"> </w:t>
      </w:r>
      <w:r>
        <w:t xml:space="preserve">over a 17-dimensional mixed</w:t>
      </w:r>
      <w:r>
        <w:t xml:space="preserve"> </w:t>
      </w:r>
      <w:r>
        <w:t xml:space="preserve">numeric/categorical feature space — operational in-envelope</w:t>
      </w:r>
      <w:r>
        <w:t xml:space="preserve"> </w:t>
      </w:r>
      <w:r>
        <w:t xml:space="preserve">guarantee that does not assume Gaussianity of the score distribution.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Maneuver-category-stratified conformal coverage</w:t>
      </w:r>
      <w:r>
        <w:t xml:space="preserve"> </w:t>
      </w:r>
      <w:r>
        <w:t xml:space="preserve">with</w:t>
      </w:r>
      <w:r>
        <w:t xml:space="preserve"> </w:t>
      </w:r>
      <w:r>
        <w:t xml:space="preserve">under-coverage at low-event-rate strata declared transparently</w:t>
      </w:r>
      <w:r>
        <w:t xml:space="preserve"> </w:t>
      </w:r>
      <w:r>
        <w:t xml:space="preserve">rather than masked by global pooling, plus an external-validation</w:t>
      </w:r>
      <w:r>
        <w:t xml:space="preserve"> </w:t>
      </w:r>
      <w:r>
        <w:t xml:space="preserve">discrepancy quantification against archival centrifuge data (H6).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Self-audit:</w:t>
      </w:r>
    </w:p>
    <w:p>
      <w:pPr>
        <w:numPr>
          <w:ilvl w:val="0"/>
          <w:numId w:val="1002"/>
        </w:numPr>
        <w:pStyle w:val="Compact"/>
      </w:pPr>
      <w:r>
        <w:t xml:space="preserve">Word count of items 1–3 (itemised list only, excluding title and</w:t>
      </w:r>
      <w:r>
        <w:t xml:space="preserve"> </w:t>
      </w:r>
      <w:r>
        <w:t xml:space="preserve">headers):</w:t>
      </w:r>
      <w:r>
        <w:t xml:space="preserve"> </w:t>
      </w:r>
      <w:r>
        <w:rPr>
          <w:bCs/>
          <w:b/>
        </w:rPr>
        <w:t xml:space="preserve">84 tokens</w:t>
      </w:r>
      <w:r>
        <w:t xml:space="preserve"> </w:t>
      </w:r>
      <w:r>
        <w:t xml:space="preserve">(≈ 81 words after stripping the</w:t>
      </w:r>
      <w:r>
        <w:t xml:space="preserve"> </w:t>
      </w:r>
      <w:r>
        <w:t xml:space="preserve">numerals). Comfortably within the IJNMBE 100-word cap.</w:t>
      </w:r>
    </w:p>
    <w:p>
      <w:pPr>
        <w:numPr>
          <w:ilvl w:val="0"/>
          <w:numId w:val="1002"/>
        </w:numPr>
        <w:pStyle w:val="Compact"/>
      </w:pPr>
      <w:r>
        <w:t xml:space="preserve">Sentence count: 3 across three items.</w:t>
      </w:r>
    </w:p>
    <w:p>
      <w:pPr>
        <w:numPr>
          <w:ilvl w:val="0"/>
          <w:numId w:val="1002"/>
        </w:numPr>
        <w:pStyle w:val="Compact"/>
      </w:pPr>
      <w:r>
        <w:t xml:space="preserve">Textual overlap with the manuscript abstract: each itemised</w:t>
      </w:r>
      <w:r>
        <w:t xml:space="preserve"> </w:t>
      </w:r>
      <w:r>
        <w:t xml:space="preserve">contribution uses different phrasing from the abstract — the</w:t>
      </w:r>
      <w:r>
        <w:t xml:space="preserve"> </w:t>
      </w:r>
      <w:r>
        <w:t xml:space="preserve">abstract describes</w:t>
      </w:r>
      <w:r>
        <w:t xml:space="preserve"> </w:t>
      </w:r>
      <w:r>
        <w:rPr>
          <w:iCs/>
          <w:i/>
        </w:rPr>
        <w:t xml:space="preserve">what the paper contains</w:t>
      </w:r>
      <w:r>
        <w:t xml:space="preserve">; this file describes</w:t>
      </w:r>
      <w:r>
        <w:t xml:space="preserve"> </w:t>
      </w:r>
      <w:r>
        <w:rPr>
          <w:iCs/>
          <w:i/>
        </w:rPr>
        <w:t xml:space="preserve">what the paper adds to the field</w:t>
      </w:r>
      <w:r>
        <w:t xml:space="preserve">. No phrase ≥ 6 words is shared</w:t>
      </w:r>
      <w:r>
        <w:t xml:space="preserve"> </w:t>
      </w:r>
      <w:r>
        <w:t xml:space="preserve">with the abstract.</w:t>
      </w:r>
    </w:p>
    <w:p>
      <w:pPr>
        <w:numPr>
          <w:ilvl w:val="0"/>
          <w:numId w:val="1002"/>
        </w:numPr>
        <w:pStyle w:val="Compact"/>
      </w:pPr>
      <w:r>
        <w:t xml:space="preserve">Lead with the non-standard methodological contribution (CQR for a</w:t>
      </w:r>
      <w:r>
        <w:t xml:space="preserve"> </w:t>
      </w:r>
      <w:r>
        <w:t xml:space="preserve">two-stage censored aerospace-medicine target on a regulatory ODE) —</w:t>
      </w:r>
      <w:r>
        <w:t xml:space="preserve"> </w:t>
      </w:r>
      <w:r>
        <w:t xml:space="preserve">passes the</w:t>
      </w:r>
      <w:r>
        <w:t xml:space="preserve"> </w:t>
      </w:r>
      <w:r>
        <w:t xml:space="preserve">“</w:t>
      </w:r>
      <w:r>
        <w:t xml:space="preserve">no standard procedure</w:t>
      </w:r>
      <w:r>
        <w:t xml:space="preserve">”</w:t>
      </w:r>
      <w:r>
        <w:t xml:space="preserve"> </w:t>
      </w:r>
      <w:r>
        <w:t xml:space="preserve">filter.</w:t>
      </w:r>
    </w:p>
    <w:p>
      <w:pPr>
        <w:numPr>
          <w:ilvl w:val="0"/>
          <w:numId w:val="1002"/>
        </w:numPr>
        <w:pStyle w:val="Compact"/>
      </w:pPr>
      <w:r>
        <w:t xml:space="preserve">Earlier drafts included an</w:t>
      </w:r>
      <w:r>
        <w:t xml:space="preserve"> </w:t>
      </w:r>
      <w:r>
        <w:t xml:space="preserve">“</w:t>
      </w:r>
      <w:r>
        <w:t xml:space="preserve">additive-wrapper preservation</w:t>
      </w:r>
      <w:r>
        <w:t xml:space="preserve"> </w:t>
      </w:r>
      <w:r>
        <w:t xml:space="preserve">principle</w:t>
      </w:r>
      <w:r>
        <w:t xml:space="preserve">”</w:t>
      </w:r>
      <w:r>
        <w:t xml:space="preserve"> </w:t>
      </w:r>
      <w:r>
        <w:t xml:space="preserve">(a software-engineering constraint) and a</w:t>
      </w:r>
      <w:r>
        <w:t xml:space="preserve"> </w:t>
      </w:r>
      <w:r>
        <w:t xml:space="preserve">generalisability assertion to other validated ODE solvers</w:t>
      </w:r>
      <w:r>
        <w:t xml:space="preserve"> </w:t>
      </w:r>
      <w:r>
        <w:t xml:space="preserve">(hand-waving without empirical support). Both removed.</w:t>
      </w:r>
    </w:p>
    <w:p>
      <w:pPr>
        <w:pStyle w:val="FirstParagraph"/>
      </w:pPr>
      <w:r>
        <w:rPr>
          <w:bCs/>
          <w:b/>
        </w:rPr>
        <w:t xml:space="preserve">Compliance with IJNMBE rule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standard procedure on a standard</w:t>
      </w:r>
      <w:r>
        <w:rPr>
          <w:bCs/>
          <w:b/>
        </w:rPr>
        <w:t xml:space="preserve"> </w:t>
      </w:r>
      <w:r>
        <w:rPr>
          <w:bCs/>
          <w:b/>
        </w:rPr>
        <w:t xml:space="preserve">problem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the Novelty File leads with</w:t>
      </w:r>
      <w:r>
        <w:t xml:space="preserve"> </w:t>
      </w:r>
      <w:r>
        <w:rPr>
          <w:bCs/>
          <w:b/>
        </w:rPr>
        <w:t xml:space="preserve">CQR applied to a two-stage</w:t>
      </w:r>
      <w:r>
        <w:rPr>
          <w:bCs/>
          <w:b/>
        </w:rPr>
        <w:t xml:space="preserve"> </w:t>
      </w:r>
      <w:r>
        <w:rPr>
          <w:bCs/>
          <w:b/>
        </w:rPr>
        <w:t xml:space="preserve">right-censored event-time target on a regulatory ODE physiological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— to our knowledge not previously published. The combined</w:t>
      </w:r>
      <w:r>
        <w:t xml:space="preserve"> </w:t>
      </w:r>
      <w:r>
        <w:t xml:space="preserve">three-element stack over the FAA-validated CGEM is the first</w:t>
      </w:r>
      <w:r>
        <w:t xml:space="preserve"> </w:t>
      </w:r>
      <w:r>
        <w:t xml:space="preserve">ML-surrogate / conformal-UQ wrapper of any FAA CAMI regulatory model.</w:t>
      </w:r>
    </w:p>
    <w:bookmarkEnd w:id="20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2026-05-12T18:41:03Z</dcterms:created>
  <dcterms:modified xsi:type="dcterms:W3CDTF">2026-05-12T18:41:03Z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