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32"/>
        </w:rPr>
        <w:t>Author Contributions (CRediT)</w:t>
      </w:r>
    </w:p>
    <w:p>
      <w:pPr>
        <w:spacing w:after="360"/>
        <w:jc w:val="center"/>
      </w:pPr>
      <w:r>
        <w:rPr>
          <w:b w:val="0"/>
          <w:i/>
        </w:rPr>
        <w:t>Computer Methods and Programs in Biomedicine</w:t>
      </w:r>
    </w:p>
    <w:p>
      <w:pPr>
        <w:spacing w:after="0"/>
        <w:jc w:val="left"/>
      </w:pPr>
      <w:r>
        <w:rPr>
          <w:b/>
          <w:i w:val="0"/>
        </w:rPr>
        <w:t>Manuscript title:</w:t>
      </w:r>
    </w:p>
    <w:p>
      <w:pPr>
        <w:spacing w:after="240"/>
      </w:pPr>
      <w:r>
        <w:t>TinyDCS: An edge-deployable machine-learning surrogate of the ADRAC altitude-decompression-sickness risk model with continuous-exposure covariates and calibrated uncertainty</w:t>
      </w:r>
    </w:p>
    <w:p>
      <w:pPr>
        <w:spacing w:after="240"/>
      </w:pPr>
      <w:r>
        <w:t>Author contributions are reported using the CRediT (Contributor Roles Taxonomy, https://credit.niso.org) following the recommendation of the National Information Standards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Author</w:t>
            </w:r>
          </w:p>
        </w:tc>
        <w:tc>
          <w:tcPr>
            <w:tcW w:type="dxa" w:w="470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CRediT roles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Diego Malpica, MD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Conceptualisation; Methodology; Software; Validation; Formal analysis; Investigation; Data curation; Writing — original draft; Writing — review and editing; Visualisation; Supervision; Project administration.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Marian Farfán, MD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Conceptualisation; Methodology; Investigation; Writing — review and editing; Resources.</w:t>
            </w:r>
          </w:p>
        </w:tc>
      </w:tr>
    </w:tbl>
    <w:p>
      <w:pPr>
        <w:spacing w:after="120"/>
      </w:pPr>
    </w:p>
    <w:p>
      <w:pPr>
        <w:spacing w:after="360"/>
      </w:pPr>
      <w:r>
        <w:t>All authors read and approved the final version of the manuscript.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