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32"/>
        </w:rPr>
        <w:t>Highlights</w:t>
      </w:r>
    </w:p>
    <w:p>
      <w:pPr>
        <w:spacing w:after="360"/>
        <w:jc w:val="center"/>
      </w:pPr>
      <w:r>
        <w:rPr>
          <w:b w:val="0"/>
          <w:i/>
        </w:rPr>
        <w:t>TinyDCS: An edge-deployable machine-learning surrogate of the ADRAC altitude-decompression-sickness risk model with continuous-exposure covariates and calibrated uncertainty</w:t>
      </w:r>
    </w:p>
    <w:p>
      <w:pPr>
        <w:pStyle w:val="ListBullet"/>
        <w:spacing w:line="240" w:lineRule="auto" w:after="120"/>
      </w:pPr>
      <w:r>
        <w:t>TinyDCS surrogate of ADRAC reaches MAE 0.020 vs 0.086 for closed-form baseline.</w:t>
      </w:r>
    </w:p>
    <w:p>
      <w:pPr>
        <w:pStyle w:val="ListBullet"/>
        <w:spacing w:line="240" w:lineRule="auto" w:after="120"/>
      </w:pPr>
      <w:r>
        <w:t>Compact 95 KB ONNX model with 2.44 μs/row CPU latency for wearable deployment.</w:t>
      </w:r>
    </w:p>
    <w:p>
      <w:pPr>
        <w:pStyle w:val="ListBullet"/>
        <w:spacing w:line="240" w:lineRule="auto" w:after="120"/>
      </w:pPr>
      <w:r>
        <w:t>Zero-inflated two-stage calibration restores 95% coverage at low altitudes.</w:t>
      </w:r>
    </w:p>
    <w:p>
      <w:pPr>
        <w:pStyle w:val="ListBullet"/>
        <w:spacing w:line="240" w:lineRule="auto" w:after="120"/>
      </w:pPr>
      <w:r>
        <w:t>Continuous-</w:t>
      </w:r>
      <w:r>
        <w:t>VO</w:t>
      </w:r>
      <w:r>
        <w:rPr>
          <w:vertAlign w:val="subscript"/>
        </w:rPr>
        <w:t>2</w:t>
      </w:r>
      <w:r>
        <w:t xml:space="preserve"> covariates with monotonicity constraints and OOD abstention.</w:t>
      </w:r>
    </w:p>
    <w:p>
      <w:pPr>
        <w:pStyle w:val="ListBullet"/>
        <w:spacing w:line="240" w:lineRule="auto" w:after="120"/>
      </w:pPr>
      <w:r>
        <w:t>Bayesian personalisation prototype reaches r = 0.63 after 20 per-subject runs.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