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2"/>
        </w:rPr>
        <w:t>Statement on Studies Involving Human and Animal Subjects</w:t>
      </w:r>
    </w:p>
    <w:p>
      <w:pPr>
        <w:spacing w:after="360"/>
        <w:jc w:val="center"/>
      </w:pPr>
      <w:r>
        <w:rPr>
          <w:b w:val="0"/>
          <w:i/>
        </w:rPr>
        <w:t>Computer Methods and Programs in Biomedicine</w:t>
      </w:r>
    </w:p>
    <w:p>
      <w:pPr>
        <w:spacing w:after="0"/>
        <w:jc w:val="left"/>
      </w:pPr>
      <w:r>
        <w:rPr>
          <w:b/>
          <w:i w:val="0"/>
        </w:rPr>
        <w:t>Manuscript title:</w:t>
      </w:r>
    </w:p>
    <w:p>
      <w:pPr>
        <w:spacing w:after="240"/>
      </w:pPr>
      <w:r>
        <w:t>TinyDCS: An edge-deployable machine-learning surrogate of the ADRAC altitude-decompression-sickness risk model with continuous-exposure covariates and calibrated uncertainty</w:t>
      </w:r>
    </w:p>
    <w:p>
      <w:pPr>
        <w:spacing w:after="0"/>
        <w:jc w:val="left"/>
      </w:pPr>
      <w:r>
        <w:rPr>
          <w:b/>
          <w:i w:val="0"/>
        </w:rPr>
        <w:t>Authors:</w:t>
      </w:r>
    </w:p>
    <w:p>
      <w:pPr>
        <w:spacing w:after="360"/>
        <w:jc w:val="left"/>
      </w:pPr>
      <w:r>
        <w:rPr>
          <w:b w:val="0"/>
          <w:i w:val="0"/>
        </w:rPr>
        <w:t>Diego Malpica, MD; Marian Farfán, MD</w:t>
      </w:r>
    </w:p>
    <w:p>
      <w:pPr>
        <w:spacing w:after="80"/>
        <w:jc w:val="left"/>
      </w:pPr>
      <w:r>
        <w:rPr>
          <w:b/>
          <w:i w:val="0"/>
        </w:rPr>
        <w:t>1. Studies involving human participants</w:t>
      </w:r>
    </w:p>
    <w:p>
      <w:pPr>
        <w:spacing w:after="240"/>
      </w:pPr>
      <w:r>
        <w:rPr>
          <w:b/>
        </w:rPr>
        <w:t>Not applicable.</w:t>
      </w:r>
      <w:r>
        <w:t xml:space="preserve"> This study did not involve any human participants, identifiable human material, or identifiable human data. No prospective or retrospective recruitment, intervention, questionnaire, interview, biological sampling, or chart review of human subjects was performed. The work uses (i) the publicly released ADRAC computational grid (</w:t>
      </w:r>
      <w:r>
        <w:rPr>
          <w:rFonts w:ascii="Consolas" w:hAnsi="Consolas"/>
        </w:rPr>
        <w:t>DCS_Risk_DB_2025.csv</w:t>
      </w:r>
      <w:r>
        <w:t xml:space="preserve">), which represents the deterministic output of the U.S. Air Force altitude-decompression-sickness risk model on a factorial grid of exposures, and (ii) synthetic </w:t>
      </w:r>
      <w:r>
        <w:t>VO</w:t>
      </w:r>
      <w:r>
        <w:rPr>
          <w:vertAlign w:val="subscript"/>
        </w:rPr>
        <w:t>2</w:t>
      </w:r>
      <w:r>
        <w:t xml:space="preserve"> trajectories generated by an Ornstein–Uhlenbeck process consistent with published activity-level ranges. No human-subjects approval was therefore required. The Declaration of Helsinki and applicable national regulations on research involving human participants do not apply to this work.</w:t>
      </w:r>
    </w:p>
    <w:p>
      <w:pPr>
        <w:spacing w:after="80"/>
        <w:jc w:val="left"/>
      </w:pPr>
      <w:r>
        <w:rPr>
          <w:b/>
          <w:i w:val="0"/>
        </w:rPr>
        <w:t>2. Studies involving animals</w:t>
      </w:r>
    </w:p>
    <w:p>
      <w:pPr>
        <w:spacing w:after="240"/>
      </w:pPr>
      <w:r>
        <w:rPr>
          <w:b/>
        </w:rPr>
        <w:t>Not applicable.</w:t>
      </w:r>
      <w:r>
        <w:t xml:space="preserve"> No animal experiments, animal-derived tissues, or animal-derived data were used in this study. ARRIVE guidelines and applicable national regulations on the protection of animals used for scientific purposes do not apply to this work.</w:t>
      </w:r>
    </w:p>
    <w:p>
      <w:pPr>
        <w:spacing w:after="80"/>
        <w:jc w:val="left"/>
      </w:pPr>
      <w:r>
        <w:rPr>
          <w:b/>
          <w:i w:val="0"/>
        </w:rPr>
        <w:t>3. Informed consent</w:t>
      </w:r>
    </w:p>
    <w:p>
      <w:pPr>
        <w:spacing w:after="240"/>
      </w:pPr>
      <w:r>
        <w:rPr>
          <w:b/>
        </w:rPr>
        <w:t>Not applicable.</w:t>
      </w:r>
      <w:r>
        <w:t xml:space="preserve"> Because no human participants or identifiable human data were involved, no informed-consent procedure was required.</w:t>
      </w:r>
    </w:p>
    <w:p>
      <w:pPr>
        <w:spacing w:after="80"/>
        <w:jc w:val="left"/>
      </w:pPr>
      <w:r>
        <w:rPr>
          <w:b/>
          <w:i w:val="0"/>
        </w:rPr>
        <w:t>4. Ethics committee / IRB approval</w:t>
      </w:r>
    </w:p>
    <w:p>
      <w:pPr>
        <w:spacing w:after="360"/>
      </w:pPr>
      <w:r>
        <w:rPr>
          <w:b/>
        </w:rPr>
        <w:t>Not applicable.</w:t>
      </w:r>
      <w:r>
        <w:t xml:space="preserve"> Approval from an Institutional Review Board, Ethics Committee, or Animal Care Committee was not required for this purely computational study.</w:t>
      </w:r>
    </w:p>
    <w:p>
      <w:pPr>
        <w:spacing w:after="240"/>
        <w:jc w:val="left"/>
      </w:pPr>
      <w:r>
        <w:rPr>
          <w:b/>
          <w:i w:val="0"/>
        </w:rPr>
        <w:t>Author confirmation.</w:t>
      </w:r>
    </w:p>
    <w:p>
      <w:pPr>
        <w:spacing w:after="360"/>
      </w:pPr>
      <w:r>
        <w:t>The authors confirm that the above statements are accurate and that this manuscript is a strictly computational study that does not involve human or animal subjects in any phase of its design, conduct, or analysis.</w:t>
      </w:r>
    </w:p>
    <w:p>
      <w:pPr>
        <w:spacing w:after="80"/>
        <w:jc w:val="left"/>
      </w:pPr>
      <w:r>
        <w:rPr>
          <w:b w:val="0"/>
          <w:i w:val="0"/>
        </w:rPr>
        <w:t>Name: Diego Malpica, MD (corresponding author)</w:t>
      </w:r>
    </w:p>
    <w:p>
      <w:pPr>
        <w:spacing w:after="240"/>
        <w:jc w:val="left"/>
      </w:pPr>
      <w:r>
        <w:rPr>
          <w:b w:val="0"/>
          <w:i w:val="0"/>
        </w:rPr>
        <w:t>Signature: ____________________________________     Date: 2 May 2026</w:t>
      </w:r>
    </w:p>
    <w:p>
      <w:pPr>
        <w:spacing w:after="80"/>
        <w:jc w:val="left"/>
      </w:pPr>
      <w:r>
        <w:rPr>
          <w:b w:val="0"/>
          <w:i w:val="0"/>
        </w:rPr>
        <w:t>Name: Marian Farfán, MD</w:t>
      </w:r>
    </w:p>
    <w:p>
      <w:pPr>
        <w:spacing w:after="240"/>
        <w:jc w:val="left"/>
      </w:pPr>
      <w:r>
        <w:rPr>
          <w:b w:val="0"/>
          <w:i w:val="0"/>
        </w:rPr>
        <w:t>Signature: ____________________________________     Date: 2 May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cs="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