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141f59873dfb732a2e84a88b641ef13b685250"/>
    <w:p>
      <w:pPr>
        <w:pStyle w:val="Heading1"/>
      </w:pPr>
      <w:r>
        <w:t xml:space="preserve">Cover Letter — Applied Ergonomics submission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Corresponding author (on behalf of all authors):</w:t>
      </w:r>
      <w:r>
        <w:br/>
      </w:r>
      <w:r>
        <w:rPr>
          <w:bCs/>
          <w:b/>
        </w:rPr>
        <w:t xml:space="preserve">Dr. Diego L. Malpica MD</w:t>
      </w:r>
      <w:r>
        <w:t xml:space="preserve"> </w:t>
      </w:r>
      <w:r>
        <w:t xml:space="preserve">(Principal Investigator)</w:t>
      </w:r>
      <w:r>
        <w:br/>
      </w:r>
      <w:r>
        <w:t xml:space="preserve">Aerospace Medicine — Subdirectorate of Aerospace Sciences</w:t>
      </w:r>
      <w:r>
        <w:br/>
      </w:r>
      <w:r>
        <w:t xml:space="preserve">Direction of Aerospace Medicine (DIMAE)</w:t>
      </w:r>
      <w:r>
        <w:br/>
      </w:r>
      <w:r>
        <w:t xml:space="preserve">Colombian Aerospace Force (Fuerza Aeroespacial Colombiana)</w:t>
      </w:r>
      <w:r>
        <w:br/>
      </w:r>
      <w:r>
        <w:rPr>
          <w:bCs/>
          <w:b/>
        </w:rPr>
        <w:t xml:space="preserve">E-mail:</w:t>
      </w:r>
      <w:r>
        <w:t xml:space="preserve"> </w:t>
      </w:r>
      <w:r>
        <w:t xml:space="preserve">diego.malpica@fac.mil.co</w:t>
      </w:r>
      <w:r>
        <w:br/>
      </w:r>
      <w:r>
        <w:rPr>
          <w:bCs/>
          <w:b/>
        </w:rPr>
        <w:t xml:space="preserve">ORCID:</w:t>
      </w:r>
      <w:r>
        <w:t xml:space="preserve"> </w:t>
      </w:r>
      <w:r>
        <w:t xml:space="preserve">https://orcid.org/0000-0002-2257-4940</w:t>
      </w:r>
    </w:p>
    <w:p>
      <w:pPr>
        <w:pStyle w:val="BodyText"/>
      </w:pPr>
      <w:r>
        <w:rPr>
          <w:bCs/>
          <w:b/>
        </w:rPr>
        <w:t xml:space="preserve">Co-author:</w:t>
      </w:r>
      <w:r>
        <w:t xml:space="preserve"> </w:t>
      </w:r>
      <w:r>
        <w:t xml:space="preserve">Ingrid Xiomara Bejarano Cifuentes — Researcher, CITAE, Colombian Aerospace Force — ingrid.bejarano@fac.mil.co — https://orcid.org/0000-0002-7981-2356</w:t>
      </w:r>
    </w:p>
    <w:p>
      <w:pPr>
        <w:pStyle w:val="BodyText"/>
      </w:pPr>
      <w:r>
        <w:rPr>
          <w:bCs/>
          <w:b/>
        </w:rPr>
        <w:t xml:space="preserve">Postal address (corresponding):</w:t>
      </w:r>
      <w:r>
        <w:t xml:space="preserve"> </w:t>
      </w:r>
      <w:r>
        <w:t xml:space="preserve">Direction of Aerospace Medicine (DIMAE), Colombian Aerospace Force, Bogotá D.C., Colombia</w:t>
      </w:r>
      <w:r>
        <w:t xml:space="preserve"> </w:t>
      </w:r>
      <w:r>
        <w:rPr>
          <w:iCs/>
          <w:i/>
        </w:rPr>
        <w:t xml:space="preserve">(add street/building and postal code if the journal requires a full mailing line)</w:t>
      </w:r>
    </w:p>
    <w:p>
      <w:pPr>
        <w:pStyle w:val="BodyText"/>
      </w:pPr>
      <w:r>
        <w:t xml:space="preserve">Date: [submission date]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the Editorial Office,</w:t>
      </w:r>
      <w:r>
        <w:br/>
      </w:r>
      <w:r>
        <w:rPr>
          <w:iCs/>
          <w:i/>
        </w:rPr>
        <w:t xml:space="preserve">Applied Ergonomics</w:t>
      </w:r>
      <w:r>
        <w:br/>
      </w:r>
      <w:r>
        <w:t xml:space="preserve">Elsevier Ltd.</w:t>
      </w:r>
    </w:p>
    <w:p>
      <w:pPr>
        <w:pStyle w:val="BodyText"/>
      </w:pPr>
      <w:r>
        <w:t xml:space="preserve">Dear Editor-in-Chief,</w:t>
      </w:r>
    </w:p>
    <w:p>
      <w:pPr>
        <w:pStyle w:val="BodyText"/>
      </w:pPr>
      <w:r>
        <w:t xml:space="preserve">On behalf of my co-author and myself, I am pleased to submit for your consideration the manuscript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Task-calibrated Operational Performance Indicators for aviation and unmanned aircraft system operators: a biomathematical framework integrating SAFTE fatigue, heart-rate variability, and cognitive-load theory, with open-source reference implementation</w:t>
      </w:r>
      <w:r>
        <w:rPr>
          <w:bCs/>
          <w:b/>
        </w:rPr>
        <w:t xml:space="preserve">”</w:t>
      </w:r>
      <w:r>
        <w:t xml:space="preserve"> </w:t>
      </w:r>
      <w:r>
        <w:t xml:space="preserve">as a Research Article for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.</w:t>
      </w:r>
    </w:p>
    <w:bookmarkStart w:id="20" w:name="what-the-paper-does"/>
    <w:p>
      <w:pPr>
        <w:pStyle w:val="Heading3"/>
      </w:pPr>
      <w:r>
        <w:t xml:space="preserve">What the paper does</w:t>
      </w:r>
    </w:p>
    <w:p>
      <w:pPr>
        <w:pStyle w:val="FirstParagraph"/>
      </w:pPr>
      <w:r>
        <w:t xml:space="preserve">The manuscript introduces the</w:t>
      </w:r>
      <w:r>
        <w:t xml:space="preserve"> </w:t>
      </w:r>
      <w:r>
        <w:rPr>
          <w:bCs/>
          <w:b/>
        </w:rPr>
        <w:t xml:space="preserve">Operational Performance Indicator (OPI) framework</w:t>
      </w:r>
      <w:r>
        <w:t xml:space="preserve"> </w:t>
      </w:r>
      <w:r>
        <w:t xml:space="preserve">— a task-calibrated composite readiness index that integrates SAFTE-style fatigue effectiveness, heart-rate-variability-derived autonomic markers, task-specific cognitive-load modifiers grounded in Multiple Resource Theory, and environmental/operational modifiers into a single per-task interpretable score. The framework specifies per-task weight profiles and thresholds for</w:t>
      </w:r>
      <w:r>
        <w:t xml:space="preserve"> </w:t>
      </w:r>
      <w:r>
        <w:rPr>
          <w:bCs/>
          <w:b/>
        </w:rPr>
        <w:t xml:space="preserve">ten manned-aviation task categories</w:t>
      </w:r>
      <w:r>
        <w:t xml:space="preserve"> </w:t>
      </w:r>
      <w:r>
        <w:t xml:space="preserve">(instrument flight, night-vision operations, helmet-mounted-display flying, high-density air-traffic control, critical and non-critical emergencies, test-pilot operations, carrier landing, weapons delivery, and new-platform testing) and</w:t>
      </w:r>
      <w:r>
        <w:t xml:space="preserve"> </w:t>
      </w:r>
      <w:r>
        <w:rPr>
          <w:bCs/>
          <w:b/>
        </w:rPr>
        <w:t xml:space="preserve">seven UAS/teleoperator categories</w:t>
      </w:r>
      <w:r>
        <w:t xml:space="preserve"> </w:t>
      </w:r>
      <w:r>
        <w:t xml:space="preserve">(ISR, strike, SAR/CSAR, autonomous-swarm supervisory control, contested-environment operations, ground-robot teleoperation, and subsea/long-latency teleoperation). A Warm-type vigilance-decrement function and a Chen-type logarithmic control-latency penalty are included for the UAS subset.</w:t>
      </w:r>
    </w:p>
    <w:p>
      <w:pPr>
        <w:pStyle w:val="BodyText"/>
      </w:pPr>
      <w:r>
        <w:t xml:space="preserve">The reference implementation is open-source under the MIT license at</w:t>
      </w:r>
      <w:r>
        <w:t xml:space="preserve"> </w:t>
      </w:r>
      <w:r>
        <w:rPr>
          <w:rStyle w:val="VerbatimChar"/>
        </w:rPr>
        <w:t xml:space="preserve">https://github.com/strikerdlm/HRV</w:t>
      </w:r>
      <w:r>
        <w:t xml:space="preserve"> </w:t>
      </w:r>
      <w:r>
        <w:t xml:space="preserve">and is delivered through a Next.js client over a FastAPI orchestration layer and a shared Python biomathematical backend. Engineering verification is documented across the fusion pathway. A single 128-minute HRV recording is used as an illustrative framework-instantiation worked example across three task hypotheses.</w:t>
      </w:r>
    </w:p>
    <w:bookmarkEnd w:id="20"/>
    <w:bookmarkStart w:id="21" w:name="why-applied-ergonomics"/>
    <w:p>
      <w:pPr>
        <w:pStyle w:val="Heading3"/>
      </w:pPr>
      <w:r>
        <w:t xml:space="preserve">Why</w:t>
      </w:r>
      <w:r>
        <w:t xml:space="preserve"> </w:t>
      </w:r>
      <w:r>
        <w:rPr>
          <w:iCs/>
          <w:i/>
        </w:rPr>
        <w:t xml:space="preserve">Applied Ergonomics</w:t>
      </w:r>
    </w:p>
    <w:p>
      <w:pPr>
        <w:pStyle w:val="FirstParagraph"/>
      </w:pPr>
      <w:r>
        <w:rPr>
          <w:iCs/>
          <w:i/>
        </w:rPr>
        <w:t xml:space="preserve">Applied Ergonomics</w:t>
      </w:r>
      <w:r>
        <w:t xml:space="preserve"> </w:t>
      </w:r>
      <w:r>
        <w:t xml:space="preserve">is the natural venue for this contribution for three reasons. First, the paper’s central contribution is</w:t>
      </w:r>
      <w:r>
        <w:t xml:space="preserve"> </w:t>
      </w:r>
      <w:r>
        <w:rPr>
          <w:bCs/>
          <w:b/>
        </w:rPr>
        <w:t xml:space="preserve">methodological</w:t>
      </w:r>
      <w:r>
        <w:t xml:space="preserve"> </w:t>
      </w:r>
      <w:r>
        <w:t xml:space="preserve">— a theoretically grounded framework for operator-state integration, not a single-study empirical finding — and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 </w:t>
      </w:r>
      <w:r>
        <w:t xml:space="preserve">explicitly welcomes methodology papers bearing on the design, planning, and management of technical and social systems in aviation and military contexts. Second, recent precedent (Berthon et al.,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 </w:t>
      </w:r>
      <w:r>
        <w:t xml:space="preserve">129, 2025, 104599) confirms that multi-dimensional physiological workload studies in aviation contexts are in scope and that HRV-inclusive composite assessments of aerospace operators fit the journal’s readership. Third, the paper addresses a research gap explicitly identified in two recent systematic reviews — Li, Molloy, El-Fiqi, &amp; Eves (</w:t>
      </w:r>
      <w:r>
        <w:rPr>
          <w:iCs/>
          <w:i/>
        </w:rPr>
        <w:t xml:space="preserve">Drones</w:t>
      </w:r>
      <w:r>
        <w:t xml:space="preserve"> </w:t>
      </w:r>
      <w:r>
        <w:t xml:space="preserve">2025) for UAS operator cognitive-load assessment, and Rabat et al. (</w:t>
      </w:r>
      <w:r>
        <w:rPr>
          <w:iCs/>
          <w:i/>
        </w:rPr>
        <w:t xml:space="preserve">BMJ Military Health</w:t>
      </w:r>
      <w:r>
        <w:t xml:space="preserve"> </w:t>
      </w:r>
      <w:r>
        <w:t xml:space="preserve">2025) for warfighter mental endurance management — both of which called for integrated, inspectable frameworks that combine physiological monitoring with biomathematical fatigue estimation and task-specific calibration.</w:t>
      </w:r>
    </w:p>
    <w:bookmarkEnd w:id="21"/>
    <w:bookmarkStart w:id="22" w:name="contribution-summary"/>
    <w:p>
      <w:pPr>
        <w:pStyle w:val="Heading3"/>
      </w:pPr>
      <w:r>
        <w:t xml:space="preserve">Contribution summary</w:t>
      </w:r>
    </w:p>
    <w:p>
      <w:pPr>
        <w:pStyle w:val="FirstParagraph"/>
      </w:pPr>
      <w:r>
        <w:t xml:space="preserve">The paper contributes four specific elements:</w:t>
      </w:r>
    </w:p>
    <w:p>
      <w:pPr>
        <w:numPr>
          <w:ilvl w:val="0"/>
          <w:numId w:val="1001"/>
        </w:numPr>
        <w:pStyle w:val="Compact"/>
      </w:pPr>
      <w:r>
        <w:t xml:space="preserve">An explicit four-component weighted composite readiness index with per-task weight profiles derived from Multiple Resource Theory and related HF constructs.</w:t>
      </w:r>
    </w:p>
    <w:p>
      <w:pPr>
        <w:numPr>
          <w:ilvl w:val="0"/>
          <w:numId w:val="1001"/>
        </w:numPr>
        <w:pStyle w:val="Compact"/>
      </w:pPr>
      <w:r>
        <w:t xml:space="preserve">A task taxonomy covering seventeen operator categories across manned aviation and UAS operations, with expected autonomic signatures and dominant failure modes.</w:t>
      </w:r>
    </w:p>
    <w:p>
      <w:pPr>
        <w:numPr>
          <w:ilvl w:val="0"/>
          <w:numId w:val="1001"/>
        </w:numPr>
        <w:pStyle w:val="Compact"/>
      </w:pPr>
      <w:r>
        <w:t xml:space="preserve">Integration of a Warm-type vigilance-decrement model and a Chen-type control-latency penalty into a composite operator-readiness index — these components have no analogue in manned aviation and are absent from prior composite readiness frameworks.</w:t>
      </w:r>
    </w:p>
    <w:p>
      <w:pPr>
        <w:numPr>
          <w:ilvl w:val="0"/>
          <w:numId w:val="1001"/>
        </w:numPr>
        <w:pStyle w:val="Compact"/>
      </w:pPr>
      <w:r>
        <w:t xml:space="preserve">An open-source reference implementation with MIT licensing, documented execution environment, and engineering verification across the fusion pathway.</w:t>
      </w:r>
    </w:p>
    <w:p>
      <w:pPr>
        <w:pStyle w:val="FirstParagraph"/>
      </w:pPr>
      <w:r>
        <w:t xml:space="preserve">The manuscript explicitly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 validated operator outcomes, diagnostic accuracy, numerical parity with external HRV packages, or regulatory clearance. Per-task weights are theory-derived pending field calibration. The illustrative worked example uses a single HRV recording and is framed as a framework-instantiation demonstration, not as inferential data. Limitations and a concrete validation roadmap (weight calibration, external HRV benchmarking, comparative benchmarking, prospective pilot study) are explicit in Section 4.</w:t>
      </w:r>
    </w:p>
    <w:bookmarkEnd w:id="22"/>
    <w:bookmarkStart w:id="23" w:name="suggested-reviewers"/>
    <w:p>
      <w:pPr>
        <w:pStyle w:val="Heading3"/>
      </w:pPr>
      <w:r>
        <w:t xml:space="preserve">Suggested reviewers</w:t>
      </w:r>
    </w:p>
    <w:p>
      <w:pPr>
        <w:pStyle w:val="FirstParagraph"/>
      </w:pPr>
      <w:r>
        <w:t xml:space="preserve">(Optional; list to be finalised after internal review. Candidates familiar with the adjacent literature include researchers who have worked on composite pilot workload (Feng C., et al.; Military Psychology and NATO AFRL lineages including Stevens C. A., Morris M. B.), UAS operator cognitive-load assessment (Molloy O., Eves G.), cockpit physiological monitoring (Dehais F., ISAE-SUPAERO), and SAFTE/fatigue-management methodology (Hursh S. R., Devine J. K.). A formal list with institutional e-mails, ORCIDs, and diverse geography — per journal instructions — will be entered in Editorial Manager.)</w:t>
      </w:r>
    </w:p>
    <w:bookmarkEnd w:id="23"/>
    <w:bookmarkStart w:id="24" w:name="not-under-consideration-elsewhere"/>
    <w:p>
      <w:pPr>
        <w:pStyle w:val="Heading3"/>
      </w:pPr>
      <w:r>
        <w:t xml:space="preserve">Not under consideration elsewhere</w:t>
      </w:r>
    </w:p>
    <w:p>
      <w:pPr>
        <w:pStyle w:val="FirstParagraph"/>
      </w:pPr>
      <w:r>
        <w:t xml:space="preserve">This work is original and is not under consideration by any other journal. No portion has been previously published.</w:t>
      </w:r>
      <w:r>
        <w:t xml:space="preserve"> </w:t>
      </w:r>
      <w:r>
        <w:rPr>
          <w:bCs/>
          <w:b/>
        </w:rPr>
        <w:t xml:space="preserve">All authors</w:t>
      </w:r>
      <w:r>
        <w:t xml:space="preserve"> </w:t>
      </w:r>
      <w:r>
        <w:t xml:space="preserve">have approved the submission.</w:t>
      </w:r>
    </w:p>
    <w:bookmarkEnd w:id="24"/>
    <w:bookmarkStart w:id="25" w:name="data-and-code-availability"/>
    <w:p>
      <w:pPr>
        <w:pStyle w:val="Heading3"/>
      </w:pPr>
      <w:r>
        <w:t xml:space="preserve">Data and code availability</w:t>
      </w:r>
    </w:p>
    <w:p>
      <w:pPr>
        <w:pStyle w:val="FirstParagraph"/>
      </w:pPr>
      <w:r>
        <w:t xml:space="preserve">Code, tables, and all manuscript support files are publicly accessible at</w:t>
      </w:r>
      <w:r>
        <w:t xml:space="preserve"> </w:t>
      </w:r>
      <w:r>
        <w:rPr>
          <w:rStyle w:val="VerbatimChar"/>
        </w:rPr>
        <w:t xml:space="preserve">https://github.com/strikerdlm/HRV</w:t>
      </w:r>
      <w:r>
        <w:t xml:space="preserve">. A tagged release or archived DOI corresponding to the exact reported version will be issued and cited in the final manuscript.</w:t>
      </w:r>
    </w:p>
    <w:bookmarkEnd w:id="25"/>
    <w:bookmarkStart w:id="26" w:name="conflicts-of-interest"/>
    <w:p>
      <w:pPr>
        <w:pStyle w:val="Heading3"/>
      </w:pPr>
      <w:r>
        <w:t xml:space="preserve">Conflicts of interest</w:t>
      </w:r>
    </w:p>
    <w:p>
      <w:pPr>
        <w:pStyle w:val="FirstParagraph"/>
      </w:pPr>
      <w:r>
        <w:t xml:space="preserve">The authors declare no competing financial or non-financial interests in relation to this manuscript. Neither author is serving or has served on the editorial board of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. The same declaration will be supplied on the submission portal via Elsevier’s declaration-of-interest tool (Word upload) or the equivalent</w:t>
      </w:r>
      <w:r>
        <w:t xml:space="preserve"> </w:t>
      </w:r>
      <w:r>
        <w:t xml:space="preserve">“</w:t>
      </w:r>
      <w:r>
        <w:t xml:space="preserve">no competing interests</w:t>
      </w:r>
      <w:r>
        <w:t xml:space="preserve">”</w:t>
      </w:r>
      <w:r>
        <w:t xml:space="preserve"> </w:t>
      </w:r>
      <w:r>
        <w:t xml:space="preserve">confirmation, as required.</w:t>
      </w:r>
    </w:p>
    <w:p>
      <w:pPr>
        <w:pStyle w:val="BodyText"/>
      </w:pPr>
      <w:r>
        <w:t xml:space="preserve">Thank you for considering this manuscript for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. I am available for any questions or clarifications at</w:t>
      </w:r>
      <w:r>
        <w:t xml:space="preserve"> </w:t>
      </w:r>
      <w:r>
        <w:rPr>
          <w:bCs/>
          <w:b/>
        </w:rPr>
        <w:t xml:space="preserve">diego.malpica@fac.mil.co</w:t>
      </w:r>
      <w:r>
        <w:t xml:space="preserve">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Dr. Diego L. Malpica MD</w:t>
      </w:r>
      <w:r>
        <w:br/>
      </w:r>
      <w:r>
        <w:t xml:space="preserve">Principal Investigator</w:t>
      </w:r>
      <w:r>
        <w:br/>
      </w:r>
      <w:r>
        <w:t xml:space="preserve">Aerospace Medicine — Subdirectorate of Aerospace Sciences</w:t>
      </w:r>
      <w:r>
        <w:br/>
      </w:r>
      <w:r>
        <w:t xml:space="preserve">Direction of Aerospace Medicine (DIMAE)</w:t>
      </w:r>
      <w:r>
        <w:br/>
      </w:r>
      <w:r>
        <w:t xml:space="preserve">Colombian Aerospace Force</w:t>
      </w:r>
      <w:r>
        <w:br/>
      </w:r>
      <w:r>
        <w:t xml:space="preserve">Bogotá D.C., Colombia</w:t>
      </w:r>
      <w:r>
        <w:br/>
      </w:r>
      <w:r>
        <w:t xml:space="preserve">diego.malpica@fac.mil.co</w:t>
      </w:r>
      <w:r>
        <w:br/>
      </w:r>
      <w:r>
        <w:t xml:space="preserve">ORCID: https://orcid.org/0000-0002-2257-4940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2026-04-29T16:48:24Z</dcterms:created>
  <dcterms:modified xsi:type="dcterms:W3CDTF">2026-04-29T16:48:24Z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