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author-dr-diego-malpica-md"/>
    <w:p>
      <w:pPr>
        <w:pStyle w:val="Heading1"/>
      </w:pPr>
      <w:r>
        <w:t xml:space="preserve">Author: Dr Diego Malpica MD</w:t>
      </w:r>
    </w:p>
    <w:bookmarkStart w:id="20" w:name="supplementary-appendix"/>
    <w:p>
      <w:pPr>
        <w:pStyle w:val="Heading2"/>
      </w:pPr>
      <w:r>
        <w:t xml:space="preserve">Supplementary Appendix</w:t>
      </w:r>
    </w:p>
    <w:p>
      <w:pPr>
        <w:pStyle w:val="FirstParagraph"/>
      </w:pPr>
      <w:r>
        <w:t xml:space="preserve">This appendix consolidates supplementary material that strengthens the manuscript as a methodology and reference-implementation submission without expanding unsupported scientific claims. It focuses on engineering verification, model-layer notes, standards crosswalks, reporting positioning, and deployment prerequisites.</w:t>
      </w:r>
    </w:p>
    <w:bookmarkEnd w:id="20"/>
    <w:bookmarkStart w:id="21" w:name="Xed518d99eaf96db71a0a25ff6ae6e0a5629471e"/>
    <w:p>
      <w:pPr>
        <w:pStyle w:val="Heading2"/>
      </w:pPr>
      <w:r>
        <w:t xml:space="preserve">S1. Extended engineering verification inventory</w:t>
      </w:r>
    </w:p>
    <w:p>
      <w:pPr>
        <w:pStyle w:val="FirstParagraph"/>
      </w:pPr>
      <w:r>
        <w:t xml:space="preserve">The main manuscript reports engineering verification at a summary level. The table below provides a more explicit inventory of representative software pathways, test anchors, and the corresponding claim boundary.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Workflow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manuscript interpretation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remains out of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Scheduling and readiness fusion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app/scheduling_core.py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app/scheduling_engine.py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tests/test_scheduling_core.py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scoring rules, threshold behavior, and regression-tested decision pathways.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platform includes implemented and tested operational decision-support logic.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Real-world mission benefit, decision accuracy, or deployment outcome improvement.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FRMS and fatigue pathways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app/frms.py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app/frms_v2.py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app/fatigue_integration.py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tests/test_frms.py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tests/test_frms_v2.py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tests/test_fatigue_integration.py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fatigue integration and FRMS-related software 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fatigue layer is implemented as inspectable software rather than as opaque heuristics.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Prospective validation of fatigue predictions in operational cohorts.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PVT vigilance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app/pvt_core.py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api/pvt_endpoints.py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tests/test_pvt_core.py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PVT scoring, operational gating, and variant handling.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repository includes an inspectable and regression-tested vigilance-related input surface.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timing claims still inherit published web-PVT precision bounds.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 analytics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app/sleep_core.py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api/research_endpoints.py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tests/test_sleep_core.py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Sleep debt, Sleep Regularity Index, screening bands, operational gate logic, and correlation calculations.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repository includes an inspectable and regression-tested sleep-derived readiness pathway.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evidence of PSG equivalence or clinical sleep-diagnostics validity.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Longitudinal trajectory-risk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app/trajectory_risk.py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EWMA-smoothed trends, alert classes, and a bounded cumulative-strain modifier.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repository includes an implemented longitudinal-adjustment layer aligned with allostatic-load theory.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regression tests are not yet present; do not describe this layer as regression-tested.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and web-delivery pathways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api/main.py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tests/test_api_user_profile_normalization.py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tests/test_research_windowed_endpoint.py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 behavior, normalization, and shared-core delivery.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primary web-delivery architecture is backed by testable service behavior.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End-user usability claims or deployment adoption claims without dedicated study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 and export utilities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app/publication_export.py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app/export_utils.py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tests/test_comprehensive_modules.py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statistical outputs, supporting exports, and some reporting helpers.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support is a first-class implementation concern in the repository.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manuscript reproducibility guarantees without a tagged release or archived DOI.</w:t>
            </w:r>
          </w:p>
        </w:tc>
      </w:tr>
    </w:tbl>
    <w:bookmarkEnd w:id="21"/>
    <w:bookmarkStart w:id="29" w:name="s2.-canonical-model-layer-notes"/>
    <w:p>
      <w:pPr>
        <w:pStyle w:val="Heading2"/>
      </w:pPr>
      <w:r>
        <w:t xml:space="preserve">S2. Canonical model-layer notes</w:t>
      </w:r>
    </w:p>
    <w:p>
      <w:pPr>
        <w:pStyle w:val="FirstParagraph"/>
      </w:pPr>
      <w:r>
        <w:t xml:space="preserve">The main manuscript centers the following modeling layers. The notes below clarify what should be treated as canonical, mirrored, or contextual.</w:t>
      </w:r>
    </w:p>
    <w:bookmarkStart w:id="22" w:name="hrv-analytic-core"/>
    <w:p>
      <w:pPr>
        <w:pStyle w:val="Heading3"/>
      </w:pPr>
      <w:r>
        <w:t xml:space="preserve">HRV analytic core</w:t>
      </w:r>
    </w:p>
    <w:p>
      <w:pPr>
        <w:numPr>
          <w:ilvl w:val="0"/>
          <w:numId w:val="1001"/>
        </w:numPr>
        <w:pStyle w:val="Compact"/>
      </w:pPr>
      <w:r>
        <w:t xml:space="preserve">Canonical implementation:</w:t>
      </w:r>
      <w:r>
        <w:t xml:space="preserve"> </w:t>
      </w:r>
      <w:r>
        <w:rPr>
          <w:rStyle w:val="VerbatimChar"/>
        </w:rPr>
        <w:t xml:space="preserve">app/hrv_core.py</w:t>
      </w:r>
    </w:p>
    <w:p>
      <w:pPr>
        <w:numPr>
          <w:ilvl w:val="0"/>
          <w:numId w:val="1001"/>
        </w:numPr>
        <w:pStyle w:val="Compact"/>
      </w:pPr>
      <w:r>
        <w:t xml:space="preserve">Main manuscript framing: deterministic preprocessing plus standards-informed time-domain, frequency-domain, nonlinear, and windowed HRV metrics</w:t>
      </w:r>
    </w:p>
    <w:p>
      <w:pPr>
        <w:numPr>
          <w:ilvl w:val="0"/>
          <w:numId w:val="1001"/>
        </w:numPr>
        <w:pStyle w:val="Compact"/>
      </w:pPr>
      <w:r>
        <w:t xml:space="preserve">Reviewer caveat: explicit code-level implementation is strong, but external benchmark parity is still incomplete</w:t>
      </w:r>
    </w:p>
    <w:bookmarkEnd w:id="22"/>
    <w:bookmarkStart w:id="23" w:name="saftecircadian-layer"/>
    <w:p>
      <w:pPr>
        <w:pStyle w:val="Heading3"/>
      </w:pPr>
      <w:r>
        <w:t xml:space="preserve">SAFTE/circadian layer</w:t>
      </w:r>
    </w:p>
    <w:p>
      <w:pPr>
        <w:numPr>
          <w:ilvl w:val="0"/>
          <w:numId w:val="1002"/>
        </w:numPr>
        <w:pStyle w:val="Compact"/>
      </w:pPr>
      <w:r>
        <w:t xml:space="preserve">Canonical implementation:</w:t>
      </w:r>
      <w:r>
        <w:t xml:space="preserve"> </w:t>
      </w:r>
      <w:r>
        <w:rPr>
          <w:rStyle w:val="VerbatimChar"/>
        </w:rPr>
        <w:t xml:space="preserve">app/fatigue_calculator/safte_model.py</w:t>
      </w:r>
    </w:p>
    <w:p>
      <w:pPr>
        <w:numPr>
          <w:ilvl w:val="0"/>
          <w:numId w:val="1002"/>
        </w:numPr>
        <w:pStyle w:val="Compact"/>
      </w:pPr>
      <w:r>
        <w:t xml:space="preserve">Mirrored implementation for web delivery:</w:t>
      </w:r>
      <w:r>
        <w:t xml:space="preserve"> </w:t>
      </w:r>
      <w:r>
        <w:rPr>
          <w:rStyle w:val="VerbatimChar"/>
        </w:rPr>
        <w:t xml:space="preserve">frontend/src/lib/safte-model.ts</w:t>
      </w:r>
    </w:p>
    <w:p>
      <w:pPr>
        <w:numPr>
          <w:ilvl w:val="0"/>
          <w:numId w:val="1002"/>
        </w:numPr>
        <w:pStyle w:val="Compact"/>
      </w:pPr>
      <w:r>
        <w:t xml:space="preserve">Main manuscript framing: homeostatic reservoir + circadian harmonics + sleep inertia + optional re-entrainment</w:t>
      </w:r>
    </w:p>
    <w:p>
      <w:pPr>
        <w:numPr>
          <w:ilvl w:val="0"/>
          <w:numId w:val="1002"/>
        </w:numPr>
        <w:pStyle w:val="Compact"/>
      </w:pPr>
      <w:r>
        <w:t xml:space="preserve">Reviewer caveat: mirrored TypeScript logic supports frontend/backend consistency, not independent physiological validation</w:t>
      </w:r>
    </w:p>
    <w:bookmarkEnd w:id="23"/>
    <w:bookmarkStart w:id="24" w:name="readiness-fusion-layer"/>
    <w:p>
      <w:pPr>
        <w:pStyle w:val="Heading3"/>
      </w:pPr>
      <w:r>
        <w:t xml:space="preserve">Readiness fusion layer</w:t>
      </w:r>
    </w:p>
    <w:p>
      <w:pPr>
        <w:numPr>
          <w:ilvl w:val="0"/>
          <w:numId w:val="1003"/>
        </w:numPr>
        <w:pStyle w:val="Compact"/>
      </w:pPr>
      <w:r>
        <w:t xml:space="preserve">Canonical implementation:</w:t>
      </w:r>
      <w:r>
        <w:t xml:space="preserve"> </w:t>
      </w:r>
      <w:r>
        <w:rPr>
          <w:rStyle w:val="VerbatimChar"/>
        </w:rPr>
        <w:t xml:space="preserve">app/scheduling_core.py</w:t>
      </w:r>
    </w:p>
    <w:p>
      <w:pPr>
        <w:numPr>
          <w:ilvl w:val="0"/>
          <w:numId w:val="1003"/>
        </w:numPr>
        <w:pStyle w:val="Compact"/>
      </w:pPr>
      <w:r>
        <w:t xml:space="preserve">Main manuscript framing: deterministic fusion of HRV-derived features, SAFTE state, KSS/PVT pathways, mission modifiers, and bounded GO/NO-GO logic</w:t>
      </w:r>
    </w:p>
    <w:p>
      <w:pPr>
        <w:numPr>
          <w:ilvl w:val="0"/>
          <w:numId w:val="1003"/>
        </w:numPr>
        <w:pStyle w:val="Compact"/>
      </w:pPr>
      <w:r>
        <w:t xml:space="preserve">Reviewer caveat: strong operational logic evidence does not equal mission-outcome validation</w:t>
      </w:r>
    </w:p>
    <w:bookmarkEnd w:id="24"/>
    <w:bookmarkStart w:id="25" w:name="pvt-vigilance-module"/>
    <w:p>
      <w:pPr>
        <w:pStyle w:val="Heading3"/>
      </w:pPr>
      <w:r>
        <w:t xml:space="preserve">PVT vigilance module</w:t>
      </w:r>
    </w:p>
    <w:p>
      <w:pPr>
        <w:numPr>
          <w:ilvl w:val="0"/>
          <w:numId w:val="1004"/>
        </w:numPr>
        <w:pStyle w:val="Compact"/>
      </w:pPr>
      <w:r>
        <w:t xml:space="preserve">Canonical implementation:</w:t>
      </w:r>
      <w:r>
        <w:t xml:space="preserve"> </w:t>
      </w:r>
      <w:r>
        <w:rPr>
          <w:rStyle w:val="VerbatimChar"/>
        </w:rPr>
        <w:t xml:space="preserve">app/pvt_core.py</w:t>
      </w:r>
    </w:p>
    <w:p>
      <w:pPr>
        <w:numPr>
          <w:ilvl w:val="0"/>
          <w:numId w:val="1004"/>
        </w:numPr>
        <w:pStyle w:val="Compact"/>
      </w:pPr>
      <w:r>
        <w:t xml:space="preserve">Main manuscript framing: validated PVT variants, operational lapse-based gating, and browser plus PsychoPy administration surfaces</w:t>
      </w:r>
    </w:p>
    <w:p>
      <w:pPr>
        <w:numPr>
          <w:ilvl w:val="0"/>
          <w:numId w:val="1004"/>
        </w:numPr>
        <w:pStyle w:val="Compact"/>
      </w:pPr>
      <w:r>
        <w:t xml:space="preserve">Reviewer caveat: browser delivery is suitable for operational gating and longitudinal tracking, not for laboratory-grade reaction-time claims</w:t>
      </w:r>
    </w:p>
    <w:bookmarkEnd w:id="25"/>
    <w:bookmarkStart w:id="26" w:name="sleep-analytics-module"/>
    <w:p>
      <w:pPr>
        <w:pStyle w:val="Heading3"/>
      </w:pPr>
      <w:r>
        <w:t xml:space="preserve">Sleep analytics module</w:t>
      </w:r>
    </w:p>
    <w:p>
      <w:pPr>
        <w:numPr>
          <w:ilvl w:val="0"/>
          <w:numId w:val="1005"/>
        </w:numPr>
        <w:pStyle w:val="Compact"/>
      </w:pPr>
      <w:r>
        <w:t xml:space="preserve">Canonical implementation:</w:t>
      </w:r>
      <w:r>
        <w:t xml:space="preserve"> </w:t>
      </w:r>
      <w:r>
        <w:rPr>
          <w:rStyle w:val="VerbatimChar"/>
        </w:rPr>
        <w:t xml:space="preserve">app/sleep_core.py</w:t>
      </w:r>
    </w:p>
    <w:p>
      <w:pPr>
        <w:numPr>
          <w:ilvl w:val="0"/>
          <w:numId w:val="1005"/>
        </w:numPr>
        <w:pStyle w:val="Compact"/>
      </w:pPr>
      <w:r>
        <w:t xml:space="preserve">Main manuscript framing: sleep debt, Sleep Regularity Index, stage-balance summaries, and a screening-only low-SpO₂ proxy</w:t>
      </w:r>
    </w:p>
    <w:p>
      <w:pPr>
        <w:numPr>
          <w:ilvl w:val="0"/>
          <w:numId w:val="1005"/>
        </w:numPr>
        <w:pStyle w:val="Compact"/>
      </w:pPr>
      <w:r>
        <w:t xml:space="preserve">Reviewer caveat: consumer-wearable deployment remains pattern-level and screening-only; no PSG-equivalence or sleep-diagnosis claim</w:t>
      </w:r>
    </w:p>
    <w:bookmarkEnd w:id="26"/>
    <w:bookmarkStart w:id="27" w:name="longitudinal-trajectory-risk-module"/>
    <w:p>
      <w:pPr>
        <w:pStyle w:val="Heading3"/>
      </w:pPr>
      <w:r>
        <w:t xml:space="preserve">Longitudinal trajectory-risk module</w:t>
      </w:r>
    </w:p>
    <w:p>
      <w:pPr>
        <w:numPr>
          <w:ilvl w:val="0"/>
          <w:numId w:val="1006"/>
        </w:numPr>
        <w:pStyle w:val="Compact"/>
      </w:pPr>
      <w:r>
        <w:t xml:space="preserve">Canonical implementation:</w:t>
      </w:r>
      <w:r>
        <w:t xml:space="preserve"> </w:t>
      </w:r>
      <w:r>
        <w:rPr>
          <w:rStyle w:val="VerbatimChar"/>
        </w:rPr>
        <w:t xml:space="preserve">app/trajectory_risk.py</w:t>
      </w:r>
    </w:p>
    <w:p>
      <w:pPr>
        <w:numPr>
          <w:ilvl w:val="0"/>
          <w:numId w:val="1006"/>
        </w:numPr>
        <w:pStyle w:val="Compact"/>
      </w:pPr>
      <w:r>
        <w:t xml:space="preserve">Main manuscript framing: EWMA-smoothed readiness trends and a bounded cumulative-strain modifier aligned with allostatic-load theory</w:t>
      </w:r>
    </w:p>
    <w:p>
      <w:pPr>
        <w:numPr>
          <w:ilvl w:val="0"/>
          <w:numId w:val="1006"/>
        </w:numPr>
        <w:pStyle w:val="Compact"/>
      </w:pPr>
      <w:r>
        <w:t xml:space="preserve">Reviewer caveat: implemented and documented, but not yet backed by a dedicated regression test suite</w:t>
      </w:r>
    </w:p>
    <w:bookmarkEnd w:id="27"/>
    <w:bookmarkStart w:id="28" w:name="X009007634be0f8f2ee23a97fe227d48b655d528"/>
    <w:p>
      <w:pPr>
        <w:pStyle w:val="Heading3"/>
      </w:pPr>
      <w:r>
        <w:t xml:space="preserve">Compact equation-style summary for reviewers</w:t>
      </w:r>
    </w:p>
    <w:p>
      <w:pPr>
        <w:pStyle w:val="FirstParagraph"/>
      </w:pPr>
      <w:r>
        <w:t xml:space="preserve">The biomathematical center of the manuscript can be summarized as: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HRV layer</w:t>
      </w:r>
      <w:r>
        <w:t xml:space="preserve">: RR preprocessing -&gt; mult-domain HRV features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Fatigue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E(t)</w:t>
      </w:r>
      <w:r>
        <w:t xml:space="preserve"> </w:t>
      </w:r>
      <w:r>
        <w:t xml:space="preserve">derived from homeostatic reservoir, circadian drive, and inertia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Readiness layer</w:t>
      </w:r>
      <w:r>
        <w:t xml:space="preserve">: deterministic fusion of physiological and operational state variables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Ancillary implemented modules</w:t>
      </w:r>
      <w:r>
        <w:t xml:space="preserve">: PVT vigilance input, sleep-derived modifiers, and a longitudinal trajectory-risk adjustment layer</w:t>
      </w:r>
    </w:p>
    <w:bookmarkEnd w:id="28"/>
    <w:bookmarkEnd w:id="29"/>
    <w:bookmarkStart w:id="30" w:name="X974ad0b86b15907aeaf38db7629d251ca09f83f"/>
    <w:p>
      <w:pPr>
        <w:pStyle w:val="Heading2"/>
      </w:pPr>
      <w:r>
        <w:t xml:space="preserve">S3. Standards and operational-reference crosswalk</w:t>
      </w:r>
    </w:p>
    <w:p>
      <w:pPr>
        <w:pStyle w:val="FirstParagraph"/>
      </w:pPr>
      <w:r>
        <w:t xml:space="preserve">The platform draws on multiple operational and safety reference frameworks. The table below provides a conservative crosswalk for manuscript use.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 or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informs the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wording for manuscript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Avoid saying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NASA-STD-3001 Volume 1, Crew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NASA standards page, Rev. C, dated 2023-09-15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Mission-health framing, crew health and human-systems reference context in operational modules and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designed with reference to NASA human-systems standards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NASA certified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NASA approved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compliant with NASA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ICAO Doc 9966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ICAO publications page, 2nd ed., Version 2 (Revised), 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FRMS-related operational framing, fatigue-management concepts, oversight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informed by ICAO fatigue-management guidance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ICAO certified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ICAO compliant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MIL-STD-882E-aligned risk framing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code and docs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Risk-matrix vocabulary and safety framing in operational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aligned with established system-safety vocabulary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MIL-STD certified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Crew-rest guidance / AFMAN-related operational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FRMS-related code and changelog 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Crew-rest checks and operational scheduling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implemented using rule-informed crew-rest constraints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validated military readiness standard</w:t>
            </w:r>
          </w:p>
        </w:tc>
      </w:tr>
    </w:tbl>
    <w:bookmarkEnd w:id="30"/>
    <w:bookmarkStart w:id="31" w:name="s4.-reporting-guideline-positioning"/>
    <w:p>
      <w:pPr>
        <w:pStyle w:val="Heading2"/>
      </w:pPr>
      <w:r>
        <w:t xml:space="preserve">S4. Reporting-guideline positioning</w:t>
      </w:r>
    </w:p>
    <w:p>
      <w:pPr>
        <w:pStyle w:val="FirstParagraph"/>
      </w:pPr>
      <w:r>
        <w:t xml:space="preserve">This manuscript should remain anchored to a software/systems/methods reporting posture unless stronger empirical evidence is added.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Manuscript content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reporting backbone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applies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Architecture, implementation, verification, and deployment surfaces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Journal-specific software/system or methods paper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 contribution is an integrated biomathematical methods paper with open reference implementation.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backbone for submission.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repository-backed observational analysis that might later be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STROBE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Observational reporting becomes relevant only if empirical data are analyzed as study findings.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and conditional.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Predictive modeling or AI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TRIPOD+AI / CLAIM only where relevant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frameworks apply only if the manuscript makes explicit predictive-model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not primary because the draft does not center validated predictive AI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 and transparency narrative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Versioned software reporting plus explicit availability statements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paper reports code, artifacts, environment notes, and audit infrastructure.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reflected in the current draft.</w:t>
            </w:r>
          </w:p>
        </w:tc>
      </w:tr>
    </w:tbl>
    <w:bookmarkEnd w:id="31"/>
    <w:bookmarkStart w:id="34" w:name="X8cea8642da22a8ff22112cb1293c67e3bfaa12e"/>
    <w:p>
      <w:pPr>
        <w:pStyle w:val="Heading2"/>
      </w:pPr>
      <w:r>
        <w:t xml:space="preserve">S5. Non-claims and deployment prerequisites</w:t>
      </w:r>
    </w:p>
    <w:bookmarkStart w:id="32" w:name="non-claims"/>
    <w:p>
      <w:pPr>
        <w:pStyle w:val="Heading3"/>
      </w:pPr>
      <w:r>
        <w:t xml:space="preserve">Non-claims</w:t>
      </w:r>
    </w:p>
    <w:p>
      <w:pPr>
        <w:pStyle w:val="FirstParagraph"/>
      </w:pPr>
      <w:r>
        <w:t xml:space="preserve">The current submission candidate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establish:</w:t>
      </w:r>
    </w:p>
    <w:p>
      <w:pPr>
        <w:numPr>
          <w:ilvl w:val="0"/>
          <w:numId w:val="1008"/>
        </w:numPr>
        <w:pStyle w:val="Compact"/>
      </w:pPr>
      <w:r>
        <w:t xml:space="preserve">diagnostic accuracy,</w:t>
      </w:r>
    </w:p>
    <w:p>
      <w:pPr>
        <w:numPr>
          <w:ilvl w:val="0"/>
          <w:numId w:val="1008"/>
        </w:numPr>
        <w:pStyle w:val="Compact"/>
      </w:pPr>
      <w:r>
        <w:t xml:space="preserve">clinical effectiveness,</w:t>
      </w:r>
    </w:p>
    <w:p>
      <w:pPr>
        <w:numPr>
          <w:ilvl w:val="0"/>
          <w:numId w:val="1008"/>
        </w:numPr>
        <w:pStyle w:val="Compact"/>
      </w:pPr>
      <w:r>
        <w:t xml:space="preserve">mission outcome improvement,</w:t>
      </w:r>
    </w:p>
    <w:p>
      <w:pPr>
        <w:numPr>
          <w:ilvl w:val="0"/>
          <w:numId w:val="1008"/>
        </w:numPr>
        <w:pStyle w:val="Compact"/>
      </w:pPr>
      <w:r>
        <w:t xml:space="preserve">validated numerical equivalence of the integrated platform to all external reference software,</w:t>
      </w:r>
    </w:p>
    <w:p>
      <w:pPr>
        <w:numPr>
          <w:ilvl w:val="0"/>
          <w:numId w:val="1008"/>
        </w:numPr>
        <w:pStyle w:val="Compact"/>
      </w:pPr>
      <w:r>
        <w:t xml:space="preserve">fairness or subgroup robustness,</w:t>
      </w:r>
    </w:p>
    <w:p>
      <w:pPr>
        <w:numPr>
          <w:ilvl w:val="0"/>
          <w:numId w:val="1008"/>
        </w:numPr>
        <w:pStyle w:val="Compact"/>
      </w:pPr>
      <w:r>
        <w:t xml:space="preserve">regulatory clearance or certification.</w:t>
      </w:r>
    </w:p>
    <w:bookmarkEnd w:id="32"/>
    <w:bookmarkStart w:id="33" w:name="Xb4b03d2476d3bb94972e93b7c3990ef27c19e86"/>
    <w:p>
      <w:pPr>
        <w:pStyle w:val="Heading3"/>
      </w:pPr>
      <w:r>
        <w:t xml:space="preserve">Deployment prerequisites before consequential use</w:t>
      </w:r>
    </w:p>
    <w:p>
      <w:pPr>
        <w:pStyle w:val="FirstParagraph"/>
      </w:pPr>
      <w:r>
        <w:t xml:space="preserve">Any real-world operational or clinical deployment would still require:</w:t>
      </w:r>
    </w:p>
    <w:p>
      <w:pPr>
        <w:numPr>
          <w:ilvl w:val="0"/>
          <w:numId w:val="1009"/>
        </w:numPr>
        <w:pStyle w:val="Compact"/>
      </w:pPr>
      <w:r>
        <w:t xml:space="preserve">Local validation of workflow outputs against the intended use case.</w:t>
      </w:r>
    </w:p>
    <w:p>
      <w:pPr>
        <w:numPr>
          <w:ilvl w:val="0"/>
          <w:numId w:val="1009"/>
        </w:numPr>
        <w:pStyle w:val="Compact"/>
      </w:pPr>
      <w:r>
        <w:t xml:space="preserve">Configuration control for thresholds, assumptions, and model settings.</w:t>
      </w:r>
    </w:p>
    <w:p>
      <w:pPr>
        <w:numPr>
          <w:ilvl w:val="0"/>
          <w:numId w:val="1009"/>
        </w:numPr>
        <w:pStyle w:val="Compact"/>
      </w:pPr>
      <w:r>
        <w:t xml:space="preserve">Operator training and governance documentation.</w:t>
      </w:r>
    </w:p>
    <w:p>
      <w:pPr>
        <w:numPr>
          <w:ilvl w:val="0"/>
          <w:numId w:val="1009"/>
        </w:numPr>
        <w:pStyle w:val="Compact"/>
      </w:pPr>
      <w:r>
        <w:t xml:space="preserve">Defined escalation pathways and human oversight for readiness or GO/NO-GO interpretations.</w:t>
      </w:r>
    </w:p>
    <w:p>
      <w:pPr>
        <w:numPr>
          <w:ilvl w:val="0"/>
          <w:numId w:val="1009"/>
        </w:numPr>
        <w:pStyle w:val="Compact"/>
      </w:pPr>
      <w:r>
        <w:t xml:space="preserve">Release-specific archiving of the software version used operationally.</w:t>
      </w:r>
    </w:p>
    <w:bookmarkEnd w:id="33"/>
    <w:bookmarkEnd w:id="34"/>
    <w:bookmarkStart w:id="35" w:name="s6.-reproducibility-notes-for-reviewers"/>
    <w:p>
      <w:pPr>
        <w:pStyle w:val="Heading2"/>
      </w:pPr>
      <w:r>
        <w:t xml:space="preserve">S6. Reproducibility notes for reviewers</w:t>
      </w:r>
    </w:p>
    <w:p>
      <w:pPr>
        <w:pStyle w:val="FirstParagraph"/>
      </w:pPr>
      <w:r>
        <w:t xml:space="preserve">The documented primary execution path for the manuscript remains the conda</w:t>
      </w:r>
      <w:r>
        <w:t xml:space="preserve"> </w:t>
      </w:r>
      <w:r>
        <w:rPr>
          <w:rStyle w:val="VerbatimChar"/>
        </w:rPr>
        <w:t xml:space="preserve">hrv-py312</w:t>
      </w:r>
      <w:r>
        <w:t xml:space="preserve"> </w:t>
      </w:r>
      <w:r>
        <w:t xml:space="preserve">environment with Python 3.12. The repository also contains container-related infrastructure, but the manuscript should not describe the execution environment as fully harmonized until any Python-version discrepancies between the conda path and container path are resolved. Reviewers should interpret the current paper as reporting a versioned open-source repository with engineering verification and reproducibility-oriented infrastructure, rather than as a frozen archival release unless a tagged release or DOI archive is added before submission.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2026-04-29T16:49:46Z</dcterms:created>
  <dcterms:modified xsi:type="dcterms:W3CDTF">2026-04-29T16:49:46Z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