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We introduce Operational Performance Indicators (OPI) for aviation and UAS operators.</w:t>
      </w:r>
    </w:p>
    <w:p>
      <w:pPr>
        <w:numPr>
          <w:ilvl w:val="0"/>
          <w:numId w:val="1001"/>
        </w:numPr>
        <w:pStyle w:val="Compact"/>
      </w:pPr>
      <w:r>
        <w:t xml:space="preserve">OPI fuses SAFTE, HRV, and Multiple Resource Theory-derived task-calibrated weights.</w:t>
      </w:r>
    </w:p>
    <w:p>
      <w:pPr>
        <w:numPr>
          <w:ilvl w:val="0"/>
          <w:numId w:val="1001"/>
        </w:numPr>
        <w:pStyle w:val="Compact"/>
      </w:pPr>
      <w:r>
        <w:t xml:space="preserve">Per-task weights are specified for 10 manned-aviation and 7 UAS task categories.</w:t>
      </w:r>
    </w:p>
    <w:p>
      <w:pPr>
        <w:numPr>
          <w:ilvl w:val="0"/>
          <w:numId w:val="1001"/>
        </w:numPr>
        <w:pStyle w:val="Compact"/>
      </w:pPr>
      <w:r>
        <w:t xml:space="preserve">A Warm-type vigilance model and Chen-type latency penalty cover UAS teleoperation.</w:t>
      </w:r>
    </w:p>
    <w:p>
      <w:pPr>
        <w:numPr>
          <w:ilvl w:val="0"/>
          <w:numId w:val="1001"/>
        </w:numPr>
        <w:pStyle w:val="Compact"/>
      </w:pPr>
      <w:r>
        <w:t xml:space="preserve">Open-source reference implementation is distributed under the MIT license.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2026-04-29T16:48:24Z</dcterms:created>
  <dcterms:modified xsi:type="dcterms:W3CDTF">2026-04-29T16:48:24Z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