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045a640137c917c17dcbcea12c10a723ae059bf"/>
    <w:p>
      <w:pPr>
        <w:pStyle w:val="Heading1"/>
      </w:pPr>
      <w:r>
        <w:t xml:space="preserve">Table 1 — OPI Task Taxonomy and Autonomic Signatures</w:t>
      </w:r>
    </w:p>
    <w:p>
      <w:pPr>
        <w:pStyle w:val="FirstParagraph"/>
      </w:pPr>
      <w:r>
        <w:t xml:space="preserve">Author: Dr Diego Malpica MD</w:t>
      </w:r>
    </w:p>
    <w:p>
      <w:pPr>
        <w:pStyle w:val="BodyText"/>
      </w:pPr>
      <w:r>
        <w:t xml:space="preserve">This table defines the task categories covered by the Operational Performance Indicator (OPI) framework, their dominant performance demands, expected HRV signatures under high workload, and canonical failure modes. Seventeen categories span ten manned-aviation roles and seven unmanned aircraft system (UAS) / teleoperator roles. The taxonomy anchors the per-task weight profiles in Table 2 and the vigilance/latency models in Table 3.</w:t>
      </w:r>
    </w:p>
    <w:bookmarkStart w:id="20" w:name="source-derivation"/>
    <w:p>
      <w:pPr>
        <w:pStyle w:val="Heading2"/>
      </w:pPr>
      <w:r>
        <w:t xml:space="preserve">Source derivation</w:t>
      </w:r>
    </w:p>
    <w:p>
      <w:pPr>
        <w:pStyle w:val="FirstParagraph"/>
      </w:pPr>
      <w:r>
        <w:t xml:space="preserve">Task demands and HRV signatures are derived from the following peer-reviewed sources:</w:t>
      </w:r>
    </w:p>
    <w:p>
      <w:pPr>
        <w:numPr>
          <w:ilvl w:val="0"/>
          <w:numId w:val="1001"/>
        </w:numPr>
        <w:pStyle w:val="Compact"/>
      </w:pPr>
      <w:r>
        <w:t xml:space="preserve">Wilson, G. F. (2002) — HRV sensitivity to flight-phase workload; LF/HF ratio increases 40-80% during high-workload flight phases.</w:t>
      </w:r>
    </w:p>
    <w:p>
      <w:pPr>
        <w:numPr>
          <w:ilvl w:val="0"/>
          <w:numId w:val="1001"/>
        </w:numPr>
        <w:pStyle w:val="Compact"/>
      </w:pPr>
      <w:r>
        <w:t xml:space="preserve">Wickens, C. D. (2002, 2008) — Multiple Resource Theory (MRT) for dual-task interference and attention capacity under display complexity.</w:t>
      </w:r>
    </w:p>
    <w:p>
      <w:pPr>
        <w:numPr>
          <w:ilvl w:val="0"/>
          <w:numId w:val="1001"/>
        </w:numPr>
        <w:pStyle w:val="Compact"/>
      </w:pPr>
      <w:r>
        <w:t xml:space="preserve">Roscoe, A. H. (1992) — Instrument flying increases cognitive workload 40-60% vs. VFR.</w:t>
      </w:r>
    </w:p>
    <w:p>
      <w:pPr>
        <w:numPr>
          <w:ilvl w:val="0"/>
          <w:numId w:val="1001"/>
        </w:numPr>
        <w:pStyle w:val="Compact"/>
      </w:pPr>
      <w:r>
        <w:t xml:space="preserve">Svensson et al. (1997) — LF/HF ratio associated with spatial-disorientation susceptibility.</w:t>
      </w:r>
    </w:p>
    <w:p>
      <w:pPr>
        <w:numPr>
          <w:ilvl w:val="0"/>
          <w:numId w:val="1001"/>
        </w:numPr>
        <w:pStyle w:val="Compact"/>
      </w:pPr>
      <w:r>
        <w:t xml:space="preserve">Brookings et al. (1996); Vogt et al. (2006) — ATC controller HRV under traffic-density loads.</w:t>
      </w:r>
    </w:p>
    <w:p>
      <w:pPr>
        <w:numPr>
          <w:ilvl w:val="0"/>
          <w:numId w:val="1001"/>
        </w:numPr>
        <w:pStyle w:val="Compact"/>
      </w:pPr>
      <w:r>
        <w:t xml:space="preserve">Crowley (1991); Rash et al. (2009) — NVG workload and visual fatigue.</w:t>
      </w:r>
    </w:p>
    <w:p>
      <w:pPr>
        <w:numPr>
          <w:ilvl w:val="0"/>
          <w:numId w:val="1001"/>
        </w:numPr>
        <w:pStyle w:val="Compact"/>
      </w:pPr>
      <w:r>
        <w:t xml:space="preserve">Harding et al. (2001) — HMD workload assessment via HRV.</w:t>
      </w:r>
    </w:p>
    <w:p>
      <w:pPr>
        <w:numPr>
          <w:ilvl w:val="0"/>
          <w:numId w:val="1001"/>
        </w:numPr>
        <w:pStyle w:val="Compact"/>
      </w:pPr>
      <w:r>
        <w:t xml:space="preserve">Driskell &amp; Salas (1996); Stokes &amp; Kite (2017) — Stress and performance in aviation emergencies.</w:t>
      </w:r>
    </w:p>
    <w:p>
      <w:pPr>
        <w:numPr>
          <w:ilvl w:val="0"/>
          <w:numId w:val="1001"/>
        </w:numPr>
        <w:pStyle w:val="Compact"/>
      </w:pPr>
      <w:r>
        <w:t xml:space="preserve">Carretta (2011); Retzlaff &amp; Gibertini (1988) — Test pilot selection and state thresholds.</w:t>
      </w:r>
    </w:p>
    <w:p>
      <w:pPr>
        <w:numPr>
          <w:ilvl w:val="0"/>
          <w:numId w:val="1001"/>
        </w:numPr>
        <w:pStyle w:val="Compact"/>
      </w:pPr>
      <w:r>
        <w:t xml:space="preserve">Bolia et al. (2007); Roza et al. (2015) — Naval aviation and precision motor control.</w:t>
      </w:r>
    </w:p>
    <w:p>
      <w:pPr>
        <w:numPr>
          <w:ilvl w:val="0"/>
          <w:numId w:val="1001"/>
        </w:numPr>
        <w:pStyle w:val="Compact"/>
      </w:pPr>
      <w:r>
        <w:t xml:space="preserve">Endsley (1995); Schreiber et al. (2004) — Situation awareness in weapons employment.</w:t>
      </w:r>
    </w:p>
    <w:p>
      <w:pPr>
        <w:numPr>
          <w:ilvl w:val="0"/>
          <w:numId w:val="1001"/>
        </w:numPr>
        <w:pStyle w:val="Compact"/>
      </w:pPr>
      <w:r>
        <w:t xml:space="preserve">Casner et al. (2014); Parasuraman &amp; Riley (1997) — Automation interaction and skill degradation.</w:t>
      </w:r>
    </w:p>
    <w:p>
      <w:pPr>
        <w:numPr>
          <w:ilvl w:val="0"/>
          <w:numId w:val="1001"/>
        </w:numPr>
        <w:pStyle w:val="Compact"/>
      </w:pPr>
      <w:r>
        <w:t xml:space="preserve">Warm et al. (2008) — Vigilance decrement and attention-resource theory for sustained monitoring.</w:t>
      </w:r>
    </w:p>
    <w:p>
      <w:pPr>
        <w:numPr>
          <w:ilvl w:val="0"/>
          <w:numId w:val="1001"/>
        </w:numPr>
        <w:pStyle w:val="Compact"/>
      </w:pPr>
      <w:r>
        <w:t xml:space="preserve">Chen et al. (2007) — Teleoperator latency sensitivity and control strategy selection.</w:t>
      </w:r>
    </w:p>
    <w:p>
      <w:pPr>
        <w:numPr>
          <w:ilvl w:val="0"/>
          <w:numId w:val="1001"/>
        </w:numPr>
        <w:pStyle w:val="Compact"/>
      </w:pPr>
      <w:r>
        <w:t xml:space="preserve">Stevens et al. (2022) [doi:10.1080/08995605.2022.2130673] — Cognitive Metrics Profiling in unmanned-vehicle control.</w:t>
      </w:r>
    </w:p>
    <w:bookmarkEnd w:id="20"/>
    <w:bookmarkStart w:id="21" w:name="manned-aviation-task-categories"/>
    <w:p>
      <w:pPr>
        <w:pStyle w:val="Heading2"/>
      </w:pPr>
      <w:r>
        <w:t xml:space="preserve">Manned aviation task categories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Task category</w:t>
            </w:r>
          </w:p>
        </w:tc>
        <w:tc>
          <w:tcPr/>
          <w:p>
            <w:pPr>
              <w:pStyle w:val="Compact"/>
              <w:jc w:val="left"/>
            </w:pPr>
            <w:r>
              <w:t xml:space="preserve">Primary performance demands</w:t>
            </w:r>
          </w:p>
        </w:tc>
        <w:tc>
          <w:tcPr/>
          <w:p>
            <w:pPr>
              <w:pStyle w:val="Compact"/>
              <w:jc w:val="left"/>
            </w:pPr>
            <w:r>
              <w:t xml:space="preserve">Dominant failure mode</w:t>
            </w:r>
          </w:p>
        </w:tc>
        <w:tc>
          <w:tcPr/>
          <w:p>
            <w:pPr>
              <w:pStyle w:val="Compact"/>
              <w:jc w:val="left"/>
            </w:pPr>
            <w:r>
              <w:t xml:space="preserve">Expected HRV signature under high load</w:t>
            </w:r>
          </w:p>
        </w:tc>
      </w:tr>
      <w:tr>
        <w:tc>
          <w:tcPr/>
          <w:p>
            <w:pPr>
              <w:pStyle w:val="Compact"/>
              <w:jc w:val="left"/>
            </w:pPr>
            <w:r>
              <w:t xml:space="preserve">1</w:t>
            </w:r>
          </w:p>
        </w:tc>
        <w:tc>
          <w:tcPr/>
          <w:p>
            <w:pPr>
              <w:pStyle w:val="Compact"/>
              <w:jc w:val="left"/>
            </w:pPr>
            <w:r>
              <w:t xml:space="preserve">Instrument Meteorological Conditions (IMC) flying</w:t>
            </w:r>
          </w:p>
        </w:tc>
        <w:tc>
          <w:tcPr/>
          <w:p>
            <w:pPr>
              <w:pStyle w:val="Compact"/>
              <w:jc w:val="left"/>
            </w:pPr>
            <w:r>
              <w:t xml:space="preserve">Continuous instrument cross-check; spatial-orientation maintenance without visual references; approach/missed-approach workload spikes</w:t>
            </w:r>
          </w:p>
        </w:tc>
        <w:tc>
          <w:tcPr/>
          <w:p>
            <w:pPr>
              <w:pStyle w:val="Compact"/>
              <w:jc w:val="left"/>
            </w:pPr>
            <w:r>
              <w:t xml:space="preserve">Spatial disorientation; task saturation during approach</w:t>
            </w:r>
          </w:p>
        </w:tc>
        <w:tc>
          <w:tcPr/>
          <w:p>
            <w:pPr>
              <w:pStyle w:val="Compact"/>
              <w:jc w:val="left"/>
            </w:pPr>
            <w:r>
              <w:t xml:space="preserve">LF/HF ↑ 40-80%; RMSSD ↓; stress index ↑</w:t>
            </w:r>
          </w:p>
        </w:tc>
      </w:tr>
      <w:tr>
        <w:tc>
          <w:tcPr/>
          <w:p>
            <w:pPr>
              <w:pStyle w:val="Compact"/>
              <w:jc w:val="left"/>
            </w:pPr>
            <w:r>
              <w:t xml:space="preserve">2</w:t>
            </w:r>
          </w:p>
        </w:tc>
        <w:tc>
          <w:tcPr/>
          <w:p>
            <w:pPr>
              <w:pStyle w:val="Compact"/>
              <w:jc w:val="left"/>
            </w:pPr>
            <w:r>
              <w:t xml:space="preserve">Night Vision Device (NVD) operations</w:t>
            </w:r>
          </w:p>
        </w:tc>
        <w:tc>
          <w:tcPr/>
          <w:p>
            <w:pPr>
              <w:pStyle w:val="Compact"/>
              <w:jc w:val="left"/>
            </w:pPr>
            <w:r>
              <w:t xml:space="preserve">Reduced 40° visual field; degraded depth perception; terrain interpretation under circadian trough</w:t>
            </w:r>
          </w:p>
        </w:tc>
        <w:tc>
          <w:tcPr/>
          <w:p>
            <w:pPr>
              <w:pStyle w:val="Compact"/>
              <w:jc w:val="left"/>
            </w:pPr>
            <w:r>
              <w:t xml:space="preserve">Obstacle collision; misjudged clearances</w:t>
            </w:r>
          </w:p>
        </w:tc>
        <w:tc>
          <w:tcPr/>
          <w:p>
            <w:pPr>
              <w:pStyle w:val="Compact"/>
              <w:jc w:val="left"/>
            </w:pPr>
            <w:r>
              <w:t xml:space="preserve">Sustained stress index ↑; RMSSD ↓ with time-on-goggles</w:t>
            </w:r>
          </w:p>
        </w:tc>
      </w:tr>
      <w:tr>
        <w:tc>
          <w:tcPr/>
          <w:p>
            <w:pPr>
              <w:pStyle w:val="Compact"/>
              <w:jc w:val="left"/>
            </w:pPr>
            <w:r>
              <w:t xml:space="preserve">3</w:t>
            </w:r>
          </w:p>
        </w:tc>
        <w:tc>
          <w:tcPr/>
          <w:p>
            <w:pPr>
              <w:pStyle w:val="Compact"/>
              <w:jc w:val="left"/>
            </w:pPr>
            <w:r>
              <w:t xml:space="preserve">Helmet-Mounted Display (HMD) flying</w:t>
            </w:r>
          </w:p>
        </w:tc>
        <w:tc>
          <w:tcPr/>
          <w:p>
            <w:pPr>
              <w:pStyle w:val="Compact"/>
              <w:jc w:val="left"/>
            </w:pPr>
            <w:r>
              <w:t xml:space="preserve">Display clutter management; divided attention HMD vs. out-the-window; vestibular-visual conflict risk</w:t>
            </w:r>
          </w:p>
        </w:tc>
        <w:tc>
          <w:tcPr/>
          <w:p>
            <w:pPr>
              <w:pStyle w:val="Compact"/>
              <w:jc w:val="left"/>
            </w:pPr>
            <w:r>
              <w:t xml:space="preserve">Target fixation; display overreliance</w:t>
            </w:r>
          </w:p>
        </w:tc>
        <w:tc>
          <w:tcPr/>
          <w:p>
            <w:pPr>
              <w:pStyle w:val="Compact"/>
              <w:jc w:val="left"/>
            </w:pPr>
            <w:r>
              <w:t xml:space="preserve">HRV complexity (SampEn) ↓; dual-task LF power changes</w:t>
            </w:r>
          </w:p>
        </w:tc>
      </w:tr>
      <w:tr>
        <w:tc>
          <w:tcPr/>
          <w:p>
            <w:pPr>
              <w:pStyle w:val="Compact"/>
              <w:jc w:val="left"/>
            </w:pPr>
            <w:r>
              <w:t xml:space="preserve">4</w:t>
            </w:r>
          </w:p>
        </w:tc>
        <w:tc>
          <w:tcPr/>
          <w:p>
            <w:pPr>
              <w:pStyle w:val="Compact"/>
              <w:jc w:val="left"/>
            </w:pPr>
            <w:r>
              <w:t xml:space="preserve">High-density air traffic control</w:t>
            </w:r>
          </w:p>
        </w:tc>
        <w:tc>
          <w:tcPr/>
          <w:p>
            <w:pPr>
              <w:pStyle w:val="Compact"/>
              <w:jc w:val="left"/>
            </w:pPr>
            <w:r>
              <w:t xml:space="preserve">Communication tempo; multiple-aircraft tracking; conflict detection and resolution</w:t>
            </w:r>
          </w:p>
        </w:tc>
        <w:tc>
          <w:tcPr/>
          <w:p>
            <w:pPr>
              <w:pStyle w:val="Compact"/>
              <w:jc w:val="left"/>
            </w:pPr>
            <w:r>
              <w:t xml:space="preserve">Sequencing errors; missed communications</w:t>
            </w:r>
          </w:p>
        </w:tc>
        <w:tc>
          <w:tcPr/>
          <w:p>
            <w:pPr>
              <w:pStyle w:val="Compact"/>
              <w:jc w:val="left"/>
            </w:pPr>
            <w:r>
              <w:t xml:space="preserve">HF power ↓↓ (vagal withdrawal); entropy ↓ at saturation</w:t>
            </w:r>
          </w:p>
        </w:tc>
      </w:tr>
      <w:tr>
        <w:tc>
          <w:tcPr/>
          <w:p>
            <w:pPr>
              <w:pStyle w:val="Compact"/>
              <w:jc w:val="left"/>
            </w:pPr>
            <w:r>
              <w:t xml:space="preserve">5</w:t>
            </w:r>
          </w:p>
        </w:tc>
        <w:tc>
          <w:tcPr/>
          <w:p>
            <w:pPr>
              <w:pStyle w:val="Compact"/>
              <w:jc w:val="left"/>
            </w:pPr>
            <w:r>
              <w:t xml:space="preserve">Critical emergency (immediate-action)</w:t>
            </w:r>
          </w:p>
        </w:tc>
        <w:tc>
          <w:tcPr/>
          <w:p>
            <w:pPr>
              <w:pStyle w:val="Compact"/>
              <w:jc w:val="left"/>
            </w:pPr>
            <w:r>
              <w:t xml:space="preserve">Acute stress mobilisation; time-compressed decision; rapid execution of memory items</w:t>
            </w:r>
          </w:p>
        </w:tc>
        <w:tc>
          <w:tcPr/>
          <w:p>
            <w:pPr>
              <w:pStyle w:val="Compact"/>
              <w:jc w:val="left"/>
            </w:pPr>
            <w:r>
              <w:t xml:space="preserve">Decision paralysis; fixation errors</w:t>
            </w:r>
          </w:p>
        </w:tc>
        <w:tc>
          <w:tcPr/>
          <w:p>
            <w:pPr>
              <w:pStyle w:val="Compact"/>
              <w:jc w:val="left"/>
            </w:pPr>
            <w:r>
              <w:t xml:space="preserve">Acute HRV suppression (RMSSD ↓↓, HF ↓↓); heart-rate elevation; brief eustress window</w:t>
            </w:r>
          </w:p>
        </w:tc>
      </w:tr>
      <w:tr>
        <w:tc>
          <w:tcPr/>
          <w:p>
            <w:pPr>
              <w:pStyle w:val="Compact"/>
              <w:jc w:val="left"/>
            </w:pPr>
            <w:r>
              <w:t xml:space="preserve">6</w:t>
            </w:r>
          </w:p>
        </w:tc>
        <w:tc>
          <w:tcPr/>
          <w:p>
            <w:pPr>
              <w:pStyle w:val="Compact"/>
              <w:jc w:val="left"/>
            </w:pPr>
            <w:r>
              <w:t xml:space="preserve">Non-critical emergency (abnormal/cautionary)</w:t>
            </w:r>
          </w:p>
        </w:tc>
        <w:tc>
          <w:tcPr/>
          <w:p>
            <w:pPr>
              <w:pStyle w:val="Compact"/>
              <w:jc w:val="left"/>
            </w:pPr>
            <w:r>
              <w:t xml:space="preserve">Procedure-driven problem-solving; prioritisation; time available for checklists</w:t>
            </w:r>
          </w:p>
        </w:tc>
        <w:tc>
          <w:tcPr/>
          <w:p>
            <w:pPr>
              <w:pStyle w:val="Compact"/>
              <w:jc w:val="left"/>
            </w:pPr>
            <w:r>
              <w:t xml:space="preserve">Checklist errors; sequence mistakes</w:t>
            </w:r>
          </w:p>
        </w:tc>
        <w:tc>
          <w:tcPr/>
          <w:p>
            <w:pPr>
              <w:pStyle w:val="Compact"/>
              <w:jc w:val="left"/>
            </w:pPr>
            <w:r>
              <w:t xml:space="preserve">Moderate arousal; LF/HF ↑ modest; stress index moderate</w:t>
            </w:r>
          </w:p>
        </w:tc>
      </w:tr>
      <w:tr>
        <w:tc>
          <w:tcPr/>
          <w:p>
            <w:pPr>
              <w:pStyle w:val="Compact"/>
              <w:jc w:val="left"/>
            </w:pPr>
            <w:r>
              <w:t xml:space="preserve">7</w:t>
            </w:r>
          </w:p>
        </w:tc>
        <w:tc>
          <w:tcPr/>
          <w:p>
            <w:pPr>
              <w:pStyle w:val="Compact"/>
              <w:jc w:val="left"/>
            </w:pPr>
            <w:r>
              <w:t xml:space="preserve">Test pilot operations</w:t>
            </w:r>
          </w:p>
        </w:tc>
        <w:tc>
          <w:tcPr/>
          <w:p>
            <w:pPr>
              <w:pStyle w:val="Compact"/>
              <w:jc w:val="left"/>
            </w:pPr>
            <w:r>
              <w:t xml:space="preserve">Novel stimuli tolerance; envelope expansion with unknown limits; rapid adaptation; ambiguity tolerance</w:t>
            </w:r>
          </w:p>
        </w:tc>
        <w:tc>
          <w:tcPr/>
          <w:p>
            <w:pPr>
              <w:pStyle w:val="Compact"/>
              <w:jc w:val="left"/>
            </w:pPr>
            <w:r>
              <w:t xml:space="preserve">Unexpected dynamics; recovery failure</w:t>
            </w:r>
          </w:p>
        </w:tc>
        <w:tc>
          <w:tcPr/>
          <w:p>
            <w:pPr>
              <w:pStyle w:val="Compact"/>
              <w:jc w:val="left"/>
            </w:pPr>
            <w:r>
              <w:t xml:space="preserve">Wider acceptable arousal band; rapid recovery required; self-selected population baseline</w:t>
            </w:r>
          </w:p>
        </w:tc>
      </w:tr>
      <w:tr>
        <w:tc>
          <w:tcPr/>
          <w:p>
            <w:pPr>
              <w:pStyle w:val="Compact"/>
              <w:jc w:val="left"/>
            </w:pPr>
            <w:r>
              <w:t xml:space="preserve">8</w:t>
            </w:r>
          </w:p>
        </w:tc>
        <w:tc>
          <w:tcPr/>
          <w:p>
            <w:pPr>
              <w:pStyle w:val="Compact"/>
              <w:jc w:val="left"/>
            </w:pPr>
            <w:r>
              <w:t xml:space="preserve">Carrier landing (CV/CVN)</w:t>
            </w:r>
          </w:p>
        </w:tc>
        <w:tc>
          <w:tcPr/>
          <w:p>
            <w:pPr>
              <w:pStyle w:val="Compact"/>
              <w:jc w:val="left"/>
            </w:pPr>
            <w:r>
              <w:t xml:space="preserve">Precision motor control (3° glideslope); power/attitude coordination; deck-motion compensation</w:t>
            </w:r>
          </w:p>
        </w:tc>
        <w:tc>
          <w:tcPr/>
          <w:p>
            <w:pPr>
              <w:pStyle w:val="Compact"/>
              <w:jc w:val="left"/>
            </w:pPr>
            <w:r>
              <w:t xml:space="preserve">Bolter; ramp strike</w:t>
            </w:r>
          </w:p>
        </w:tc>
        <w:tc>
          <w:tcPr/>
          <w:p>
            <w:pPr>
              <w:pStyle w:val="Compact"/>
              <w:jc w:val="left"/>
            </w:pPr>
            <w:r>
              <w:t xml:space="preserve">Precision-task markers: RMSSD target &gt;35 ms; SD1/SD2 ~0.4-0.6; SampEn &gt;1.2</w:t>
            </w:r>
          </w:p>
        </w:tc>
      </w:tr>
      <w:tr>
        <w:tc>
          <w:tcPr/>
          <w:p>
            <w:pPr>
              <w:pStyle w:val="Compact"/>
              <w:jc w:val="left"/>
            </w:pPr>
            <w:r>
              <w:t xml:space="preserve">9</w:t>
            </w:r>
          </w:p>
        </w:tc>
        <w:tc>
          <w:tcPr/>
          <w:p>
            <w:pPr>
              <w:pStyle w:val="Compact"/>
              <w:jc w:val="left"/>
            </w:pPr>
            <w:r>
              <w:t xml:space="preserve">Weapons delivery</w:t>
            </w:r>
          </w:p>
        </w:tc>
        <w:tc>
          <w:tcPr/>
          <w:p>
            <w:pPr>
              <w:pStyle w:val="Compact"/>
              <w:jc w:val="left"/>
            </w:pPr>
            <w:r>
              <w:t xml:space="preserve">Target acquisition and tracking; weapons-system management; ROE compliance</w:t>
            </w:r>
          </w:p>
        </w:tc>
        <w:tc>
          <w:tcPr/>
          <w:p>
            <w:pPr>
              <w:pStyle w:val="Compact"/>
              <w:jc w:val="left"/>
            </w:pPr>
            <w:r>
              <w:t xml:space="preserve">Fratricide; collateral damage</w:t>
            </w:r>
          </w:p>
        </w:tc>
        <w:tc>
          <w:tcPr/>
          <w:p>
            <w:pPr>
              <w:pStyle w:val="Compact"/>
              <w:jc w:val="left"/>
            </w:pPr>
            <w:r>
              <w:t xml:space="preserve">Sustained-attention markers; ingress moderate LF ↑; target area HF ↓, entropy ↓; release stress spike</w:t>
            </w:r>
          </w:p>
        </w:tc>
      </w:tr>
      <w:tr>
        <w:tc>
          <w:tcPr/>
          <w:p>
            <w:pPr>
              <w:pStyle w:val="Compact"/>
              <w:jc w:val="left"/>
            </w:pPr>
            <w:r>
              <w:t xml:space="preserve">10</w:t>
            </w:r>
          </w:p>
        </w:tc>
        <w:tc>
          <w:tcPr/>
          <w:p>
            <w:pPr>
              <w:pStyle w:val="Compact"/>
              <w:jc w:val="left"/>
            </w:pPr>
            <w:r>
              <w:t xml:space="preserve">New platform / new weapons-platform testing</w:t>
            </w:r>
          </w:p>
        </w:tc>
        <w:tc>
          <w:tcPr/>
          <w:p>
            <w:pPr>
              <w:pStyle w:val="Compact"/>
              <w:jc w:val="left"/>
            </w:pPr>
            <w:r>
              <w:t xml:space="preserve">Procedure unfamiliarity; mode-confusion risk; learning-curve effects</w:t>
            </w:r>
          </w:p>
        </w:tc>
        <w:tc>
          <w:tcPr/>
          <w:p>
            <w:pPr>
              <w:pStyle w:val="Compact"/>
              <w:jc w:val="left"/>
            </w:pPr>
            <w:r>
              <w:t xml:space="preserve">Mode confusion; incorrect inputs</w:t>
            </w:r>
          </w:p>
        </w:tc>
        <w:tc>
          <w:tcPr/>
          <w:p>
            <w:pPr>
              <w:pStyle w:val="Compact"/>
              <w:jc w:val="left"/>
            </w:pPr>
            <w:r>
              <w:t xml:space="preserve">Learning-load signatures; delta and theta EEG changes typical; HRV complexity reduced</w:t>
            </w:r>
          </w:p>
        </w:tc>
      </w:tr>
    </w:tbl>
    <w:bookmarkEnd w:id="21"/>
    <w:bookmarkStart w:id="22" w:name="uas-teleoperator-task-categories"/>
    <w:p>
      <w:pPr>
        <w:pStyle w:val="Heading2"/>
      </w:pPr>
      <w:r>
        <w:t xml:space="preserve">UAS / teleoperator task categories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Task category</w:t>
            </w:r>
          </w:p>
        </w:tc>
        <w:tc>
          <w:tcPr/>
          <w:p>
            <w:pPr>
              <w:pStyle w:val="Compact"/>
              <w:jc w:val="left"/>
            </w:pPr>
            <w:r>
              <w:t xml:space="preserve">Primary performance demands</w:t>
            </w:r>
          </w:p>
        </w:tc>
        <w:tc>
          <w:tcPr/>
          <w:p>
            <w:pPr>
              <w:pStyle w:val="Compact"/>
              <w:jc w:val="left"/>
            </w:pPr>
            <w:r>
              <w:t xml:space="preserve">Dominant failure mode</w:t>
            </w:r>
          </w:p>
        </w:tc>
        <w:tc>
          <w:tcPr/>
          <w:p>
            <w:pPr>
              <w:pStyle w:val="Compact"/>
              <w:jc w:val="left"/>
            </w:pPr>
            <w:r>
              <w:t xml:space="preserve">Expected autonomic / behavioural signature</w:t>
            </w:r>
          </w:p>
        </w:tc>
      </w:tr>
      <w:tr>
        <w:tc>
          <w:tcPr/>
          <w:p>
            <w:pPr>
              <w:pStyle w:val="Compact"/>
              <w:jc w:val="left"/>
            </w:pPr>
            <w:r>
              <w:t xml:space="preserve">11</w:t>
            </w:r>
          </w:p>
        </w:tc>
        <w:tc>
          <w:tcPr/>
          <w:p>
            <w:pPr>
              <w:pStyle w:val="Compact"/>
              <w:jc w:val="left"/>
            </w:pPr>
            <w:r>
              <w:t xml:space="preserve">ISR (intelligence, surveillance, reconnaissance)</w:t>
            </w:r>
          </w:p>
        </w:tc>
        <w:tc>
          <w:tcPr/>
          <w:p>
            <w:pPr>
              <w:pStyle w:val="Compact"/>
              <w:jc w:val="left"/>
            </w:pPr>
            <w:r>
              <w:t xml:space="preserve">Sustained vigilance; low-event detection; prolonged monitoring of sparse scenes</w:t>
            </w:r>
          </w:p>
        </w:tc>
        <w:tc>
          <w:tcPr/>
          <w:p>
            <w:pPr>
              <w:pStyle w:val="Compact"/>
              <w:jc w:val="left"/>
            </w:pPr>
            <w:r>
              <w:t xml:space="preserve">Vigilance decrement; missed events</w:t>
            </w:r>
          </w:p>
        </w:tc>
        <w:tc>
          <w:tcPr/>
          <w:p>
            <w:pPr>
              <w:pStyle w:val="Compact"/>
              <w:jc w:val="left"/>
            </w:pPr>
            <w:r>
              <w:t xml:space="preserve">Vigilance-capacity decay (Warm 2008); LF/HF modestly elevated early, entropy ↓ later</w:t>
            </w:r>
          </w:p>
        </w:tc>
      </w:tr>
      <w:tr>
        <w:tc>
          <w:tcPr/>
          <w:p>
            <w:pPr>
              <w:pStyle w:val="Compact"/>
              <w:jc w:val="left"/>
            </w:pPr>
            <w:r>
              <w:t xml:space="preserve">12</w:t>
            </w:r>
          </w:p>
        </w:tc>
        <w:tc>
          <w:tcPr/>
          <w:p>
            <w:pPr>
              <w:pStyle w:val="Compact"/>
              <w:jc w:val="left"/>
            </w:pPr>
            <w:r>
              <w:t xml:space="preserve">Strike operations</w:t>
            </w:r>
          </w:p>
        </w:tc>
        <w:tc>
          <w:tcPr/>
          <w:p>
            <w:pPr>
              <w:pStyle w:val="Compact"/>
              <w:jc w:val="left"/>
            </w:pPr>
            <w:r>
              <w:t xml:space="preserve">Target discrimination; ROE and collateral assessment; decision accuracy under threat</w:t>
            </w:r>
          </w:p>
        </w:tc>
        <w:tc>
          <w:tcPr/>
          <w:p>
            <w:pPr>
              <w:pStyle w:val="Compact"/>
              <w:jc w:val="left"/>
            </w:pPr>
            <w:r>
              <w:t xml:space="preserve">Target misclassification; collateral damage</w:t>
            </w:r>
          </w:p>
        </w:tc>
        <w:tc>
          <w:tcPr/>
          <w:p>
            <w:pPr>
              <w:pStyle w:val="Compact"/>
              <w:jc w:val="left"/>
            </w:pPr>
            <w:r>
              <w:t xml:space="preserve">Acute stress response at release; entropy ↓ during target acquisition</w:t>
            </w:r>
          </w:p>
        </w:tc>
      </w:tr>
      <w:tr>
        <w:tc>
          <w:tcPr/>
          <w:p>
            <w:pPr>
              <w:pStyle w:val="Compact"/>
              <w:jc w:val="left"/>
            </w:pPr>
            <w:r>
              <w:t xml:space="preserve">13</w:t>
            </w:r>
          </w:p>
        </w:tc>
        <w:tc>
          <w:tcPr/>
          <w:p>
            <w:pPr>
              <w:pStyle w:val="Compact"/>
              <w:jc w:val="left"/>
            </w:pPr>
            <w:r>
              <w:t xml:space="preserve">SAR / CSAR (search and rescue / combat SAR)</w:t>
            </w:r>
          </w:p>
        </w:tc>
        <w:tc>
          <w:tcPr/>
          <w:p>
            <w:pPr>
              <w:pStyle w:val="Compact"/>
              <w:jc w:val="left"/>
            </w:pPr>
            <w:r>
              <w:t xml:space="preserve">Multi-task coordination; situational awareness under time pressure; dynamic target tracking</w:t>
            </w:r>
          </w:p>
        </w:tc>
        <w:tc>
          <w:tcPr/>
          <w:p>
            <w:pPr>
              <w:pStyle w:val="Compact"/>
              <w:jc w:val="left"/>
            </w:pPr>
            <w:r>
              <w:t xml:space="preserve">Situational-awareness breakdown</w:t>
            </w:r>
          </w:p>
        </w:tc>
        <w:tc>
          <w:tcPr/>
          <w:p>
            <w:pPr>
              <w:pStyle w:val="Compact"/>
              <w:jc w:val="left"/>
            </w:pPr>
            <w:r>
              <w:t xml:space="preserve">Sustained moderate-to-high arousal; LF/HF ↑ with tempo</w:t>
            </w:r>
          </w:p>
        </w:tc>
      </w:tr>
      <w:tr>
        <w:tc>
          <w:tcPr/>
          <w:p>
            <w:pPr>
              <w:pStyle w:val="Compact"/>
              <w:jc w:val="left"/>
            </w:pPr>
            <w:r>
              <w:t xml:space="preserve">14</w:t>
            </w:r>
          </w:p>
        </w:tc>
        <w:tc>
          <w:tcPr/>
          <w:p>
            <w:pPr>
              <w:pStyle w:val="Compact"/>
              <w:jc w:val="left"/>
            </w:pPr>
            <w:r>
              <w:t xml:space="preserve">Autonomous-swarm supervisory control</w:t>
            </w:r>
          </w:p>
        </w:tc>
        <w:tc>
          <w:tcPr/>
          <w:p>
            <w:pPr>
              <w:pStyle w:val="Compact"/>
              <w:jc w:val="left"/>
            </w:pPr>
            <w:r>
              <w:t xml:space="preserve">Supervisory monitoring across multiple vehicles; exception handling; human-in-the-loop policy decisions</w:t>
            </w:r>
          </w:p>
        </w:tc>
        <w:tc>
          <w:tcPr/>
          <w:p>
            <w:pPr>
              <w:pStyle w:val="Compact"/>
              <w:jc w:val="left"/>
            </w:pPr>
            <w:r>
              <w:t xml:space="preserve">Automation bias; exception-queue overflow</w:t>
            </w:r>
          </w:p>
        </w:tc>
        <w:tc>
          <w:tcPr/>
          <w:p>
            <w:pPr>
              <w:pStyle w:val="Compact"/>
              <w:jc w:val="left"/>
            </w:pPr>
            <w:r>
              <w:t xml:space="preserve">Multi-vehicle penalty; HRV complexity ↓ at saturation; attention capacity depleted</w:t>
            </w:r>
          </w:p>
        </w:tc>
      </w:tr>
      <w:tr>
        <w:tc>
          <w:tcPr/>
          <w:p>
            <w:pPr>
              <w:pStyle w:val="Compact"/>
              <w:jc w:val="left"/>
            </w:pPr>
            <w:r>
              <w:t xml:space="preserve">15</w:t>
            </w:r>
          </w:p>
        </w:tc>
        <w:tc>
          <w:tcPr/>
          <w:p>
            <w:pPr>
              <w:pStyle w:val="Compact"/>
              <w:jc w:val="left"/>
            </w:pPr>
            <w:r>
              <w:t xml:space="preserve">Contested-environment operations</w:t>
            </w:r>
          </w:p>
        </w:tc>
        <w:tc>
          <w:tcPr/>
          <w:p>
            <w:pPr>
              <w:pStyle w:val="Compact"/>
              <w:jc w:val="left"/>
            </w:pPr>
            <w:r>
              <w:t xml:space="preserve">Dual-task threat monitoring + mission execution; higher decision tempo under uncertainty</w:t>
            </w:r>
          </w:p>
        </w:tc>
        <w:tc>
          <w:tcPr/>
          <w:p>
            <w:pPr>
              <w:pStyle w:val="Compact"/>
              <w:jc w:val="left"/>
            </w:pPr>
            <w:r>
              <w:t xml:space="preserve">Dual-task interference</w:t>
            </w:r>
          </w:p>
        </w:tc>
        <w:tc>
          <w:tcPr/>
          <w:p>
            <w:pPr>
              <w:pStyle w:val="Compact"/>
              <w:jc w:val="left"/>
            </w:pPr>
            <w:r>
              <w:t xml:space="preserve">Persistent LF ↑; parasympathetic withdrawal; entropy ↓</w:t>
            </w:r>
          </w:p>
        </w:tc>
      </w:tr>
      <w:tr>
        <w:tc>
          <w:tcPr/>
          <w:p>
            <w:pPr>
              <w:pStyle w:val="Compact"/>
              <w:jc w:val="left"/>
            </w:pPr>
            <w:r>
              <w:t xml:space="preserve">16</w:t>
            </w:r>
          </w:p>
        </w:tc>
        <w:tc>
          <w:tcPr/>
          <w:p>
            <w:pPr>
              <w:pStyle w:val="Compact"/>
              <w:jc w:val="left"/>
            </w:pPr>
            <w:r>
              <w:t xml:space="preserve">Ground-robot teleoperation</w:t>
            </w:r>
          </w:p>
        </w:tc>
        <w:tc>
          <w:tcPr/>
          <w:p>
            <w:pPr>
              <w:pStyle w:val="Compact"/>
              <w:jc w:val="left"/>
            </w:pPr>
            <w:r>
              <w:t xml:space="preserve">Spatial transformation; mental rotation; proprioceptive mismatch</w:t>
            </w:r>
          </w:p>
        </w:tc>
        <w:tc>
          <w:tcPr/>
          <w:p>
            <w:pPr>
              <w:pStyle w:val="Compact"/>
              <w:jc w:val="left"/>
            </w:pPr>
            <w:r>
              <w:t xml:space="preserve">Orientation errors; control reversals</w:t>
            </w:r>
          </w:p>
        </w:tc>
        <w:tc>
          <w:tcPr/>
          <w:p>
            <w:pPr>
              <w:pStyle w:val="Compact"/>
              <w:jc w:val="left"/>
            </w:pPr>
            <w:r>
              <w:t xml:space="preserve">Cognitive-load signatures; reduced HRV complexity; control-strategy shift with latency</w:t>
            </w:r>
          </w:p>
        </w:tc>
      </w:tr>
      <w:tr>
        <w:tc>
          <w:tcPr/>
          <w:p>
            <w:pPr>
              <w:pStyle w:val="Compact"/>
              <w:jc w:val="left"/>
            </w:pPr>
            <w:r>
              <w:t xml:space="preserve">17</w:t>
            </w:r>
          </w:p>
        </w:tc>
        <w:tc>
          <w:tcPr/>
          <w:p>
            <w:pPr>
              <w:pStyle w:val="Compact"/>
              <w:jc w:val="left"/>
            </w:pPr>
            <w:r>
              <w:t xml:space="preserve">Subsea / long-latency teleoperation</w:t>
            </w:r>
          </w:p>
        </w:tc>
        <w:tc>
          <w:tcPr/>
          <w:p>
            <w:pPr>
              <w:pStyle w:val="Compact"/>
              <w:jc w:val="left"/>
            </w:pPr>
            <w:r>
              <w:t xml:space="preserve">Communication delays (&gt;1 s); predictive control; move-and-wait strategies</w:t>
            </w:r>
          </w:p>
        </w:tc>
        <w:tc>
          <w:tcPr/>
          <w:p>
            <w:pPr>
              <w:pStyle w:val="Compact"/>
              <w:jc w:val="left"/>
            </w:pPr>
            <w:r>
              <w:t xml:space="preserve">Control-loop instability; autonomous handoff needed</w:t>
            </w:r>
          </w:p>
        </w:tc>
        <w:tc>
          <w:tcPr/>
          <w:p>
            <w:pPr>
              <w:pStyle w:val="Compact"/>
              <w:jc w:val="left"/>
            </w:pPr>
            <w:r>
              <w:t xml:space="preserve">Latency penalty dominates; sustained stress index ↑ with loop time</w:t>
            </w:r>
          </w:p>
        </w:tc>
      </w:tr>
    </w:tbl>
    <w:bookmarkEnd w:id="22"/>
    <w:bookmarkStart w:id="23" w:name="Xb309539272d31a9c2f63e25f0d342eb52996a09"/>
    <w:p>
      <w:pPr>
        <w:pStyle w:val="Heading2"/>
      </w:pPr>
      <w:r>
        <w:t xml:space="preserve">Readiness categories (consistent across all tasks)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OPI score</w:t>
            </w:r>
          </w:p>
        </w:tc>
        <w:tc>
          <w:tcPr/>
          <w:p>
            <w:pPr>
              <w:pStyle w:val="Compact"/>
              <w:jc w:val="left"/>
            </w:pPr>
            <w:r>
              <w:t xml:space="preserve">Category</w:t>
            </w:r>
          </w:p>
        </w:tc>
        <w:tc>
          <w:tcPr/>
          <w:p>
            <w:pPr>
              <w:pStyle w:val="Compact"/>
              <w:jc w:val="left"/>
            </w:pPr>
            <w:r>
              <w:t xml:space="preserve">Operational interpretation</w:t>
            </w:r>
          </w:p>
        </w:tc>
      </w:tr>
      <w:tr>
        <w:tc>
          <w:tcPr/>
          <w:p>
            <w:pPr>
              <w:pStyle w:val="Compact"/>
              <w:jc w:val="left"/>
            </w:pPr>
            <w:r>
              <w:t xml:space="preserve">≥85</w:t>
            </w:r>
          </w:p>
        </w:tc>
        <w:tc>
          <w:tcPr/>
          <w:p>
            <w:pPr>
              <w:pStyle w:val="Compact"/>
              <w:jc w:val="left"/>
            </w:pPr>
            <w:r>
              <w:t xml:space="preserve">GO</w:t>
            </w:r>
          </w:p>
        </w:tc>
        <w:tc>
          <w:tcPr/>
          <w:p>
            <w:pPr>
              <w:pStyle w:val="Compact"/>
              <w:jc w:val="left"/>
            </w:pPr>
            <w:r>
              <w:t xml:space="preserve">Full mission capability</w:t>
            </w:r>
          </w:p>
        </w:tc>
      </w:tr>
      <w:tr>
        <w:tc>
          <w:tcPr/>
          <w:p>
            <w:pPr>
              <w:pStyle w:val="Compact"/>
              <w:jc w:val="left"/>
            </w:pPr>
            <w:r>
              <w:t xml:space="preserve">70-84</w:t>
            </w:r>
          </w:p>
        </w:tc>
        <w:tc>
          <w:tcPr/>
          <w:p>
            <w:pPr>
              <w:pStyle w:val="Compact"/>
              <w:jc w:val="left"/>
            </w:pPr>
            <w:r>
              <w:t xml:space="preserve">GO (Monitor)</w:t>
            </w:r>
          </w:p>
        </w:tc>
        <w:tc>
          <w:tcPr/>
          <w:p>
            <w:pPr>
              <w:pStyle w:val="Compact"/>
              <w:jc w:val="left"/>
            </w:pPr>
            <w:r>
              <w:t xml:space="preserve">Proceed with enhanced crew-resource-management coordination</w:t>
            </w:r>
          </w:p>
        </w:tc>
      </w:tr>
      <w:tr>
        <w:tc>
          <w:tcPr/>
          <w:p>
            <w:pPr>
              <w:pStyle w:val="Compact"/>
              <w:jc w:val="left"/>
            </w:pPr>
            <w:r>
              <w:t xml:space="preserve">55-69</w:t>
            </w:r>
          </w:p>
        </w:tc>
        <w:tc>
          <w:tcPr/>
          <w:p>
            <w:pPr>
              <w:pStyle w:val="Compact"/>
              <w:jc w:val="left"/>
            </w:pPr>
            <w:r>
              <w:t xml:space="preserve">CAUTION</w:t>
            </w:r>
          </w:p>
        </w:tc>
        <w:tc>
          <w:tcPr/>
          <w:p>
            <w:pPr>
              <w:pStyle w:val="Compact"/>
              <w:jc w:val="left"/>
            </w:pPr>
            <w:r>
              <w:t xml:space="preserve">Consider mission modification or task swap</w:t>
            </w:r>
          </w:p>
        </w:tc>
      </w:tr>
      <w:tr>
        <w:tc>
          <w:tcPr/>
          <w:p>
            <w:pPr>
              <w:pStyle w:val="Compact"/>
              <w:jc w:val="left"/>
            </w:pPr>
            <w:r>
              <w:t xml:space="preserve">&lt;55</w:t>
            </w:r>
          </w:p>
        </w:tc>
        <w:tc>
          <w:tcPr/>
          <w:p>
            <w:pPr>
              <w:pStyle w:val="Compact"/>
              <w:jc w:val="left"/>
            </w:pPr>
            <w:r>
              <w:t xml:space="preserve">NO-GO</w:t>
            </w:r>
          </w:p>
        </w:tc>
        <w:tc>
          <w:tcPr/>
          <w:p>
            <w:pPr>
              <w:pStyle w:val="Compact"/>
              <w:jc w:val="left"/>
            </w:pPr>
            <w:r>
              <w:t xml:space="preserve">Unacceptable operational risk under the task-specific threshold</w:t>
            </w:r>
          </w:p>
        </w:tc>
      </w:tr>
    </w:tbl>
    <w:p>
      <w:pPr>
        <w:pStyle w:val="BodyText"/>
      </w:pPr>
      <w:r>
        <w:t xml:space="preserve">Thresholds are theory-derived and calibrated to be consistent with SAFTE effectiveness bands (Hursh 2004) and published fatigue-management guidance (ICAO Doc 9966 §3.3). Empirical calibration against field outcome data is future work.</w:t>
      </w:r>
    </w:p>
    <w:bookmarkEnd w:id="23"/>
    <w:bookmarkStart w:id="24" w:name="notes-on-taxonomy-design"/>
    <w:p>
      <w:pPr>
        <w:pStyle w:val="Heading2"/>
      </w:pPr>
      <w:r>
        <w:t xml:space="preserve">Notes on taxonomy design</w:t>
      </w:r>
    </w:p>
    <w:p>
      <w:pPr>
        <w:numPr>
          <w:ilvl w:val="0"/>
          <w:numId w:val="1002"/>
        </w:numPr>
        <w:pStyle w:val="Compact"/>
      </w:pPr>
      <w:r>
        <w:t xml:space="preserve">The seventeen categories are</w:t>
      </w:r>
      <w:r>
        <w:t xml:space="preserve"> </w:t>
      </w:r>
      <w:r>
        <w:rPr>
          <w:bCs/>
          <w:b/>
        </w:rPr>
        <w:t xml:space="preserve">not mutually exclusive</w:t>
      </w:r>
      <w:r>
        <w:t xml:space="preserve"> </w:t>
      </w:r>
      <w:r>
        <w:t xml:space="preserve">at the mission level — a single sortie can transition across categories (e.g., IMC departure → weapons delivery → carrier recovery). The OPI pipeline is designed to be re-evaluated per-window as the active task category changes.</w:t>
      </w:r>
    </w:p>
    <w:p>
      <w:pPr>
        <w:numPr>
          <w:ilvl w:val="0"/>
          <w:numId w:val="1002"/>
        </w:numPr>
        <w:pStyle w:val="Compact"/>
      </w:pPr>
      <w:r>
        <w:t xml:space="preserve">The taxonomy is</w:t>
      </w:r>
      <w:r>
        <w:t xml:space="preserve"> </w:t>
      </w:r>
      <w:r>
        <w:rPr>
          <w:bCs/>
          <w:b/>
        </w:rPr>
        <w:t xml:space="preserve">extensible</w:t>
      </w:r>
      <w:r>
        <w:t xml:space="preserve">. Additional categories (e.g., space-station EVA, rotary-wing confined-area landing, air ambulance HEMS) can be added by specifying their primary demands, failure modes, and weight profile following the same template.</w:t>
      </w:r>
    </w:p>
    <w:p>
      <w:pPr>
        <w:numPr>
          <w:ilvl w:val="0"/>
          <w:numId w:val="1002"/>
        </w:numPr>
        <w:pStyle w:val="Compact"/>
      </w:pPr>
      <w:r>
        <w:rPr>
          <w:bCs/>
          <w:b/>
        </w:rPr>
        <w:t xml:space="preserve">UAS operator roles</w:t>
      </w:r>
      <w:r>
        <w:t xml:space="preserve"> </w:t>
      </w:r>
      <w:r>
        <w:t xml:space="preserve">were given their own block because three demand factors (sustained vigilance, control latency, multi-vehicle supervisory load) have no direct analogue in manned aviation and require dedicated OPI components (Table 3).</w:t>
      </w:r>
    </w:p>
    <w:p>
      <w:pPr>
        <w:numPr>
          <w:ilvl w:val="0"/>
          <w:numId w:val="1002"/>
        </w:numPr>
        <w:pStyle w:val="Compact"/>
      </w:pPr>
      <w:r>
        <w:rPr>
          <w:bCs/>
          <w:b/>
        </w:rPr>
        <w:t xml:space="preserve">Readiness-category thresholds</w:t>
      </w:r>
      <w:r>
        <w:t xml:space="preserve"> </w:t>
      </w:r>
      <w:r>
        <w:t xml:space="preserve">are held constant across tasks; only the</w:t>
      </w:r>
      <w:r>
        <w:t xml:space="preserve"> </w:t>
      </w:r>
      <w:r>
        <w:rPr>
          <w:bCs/>
          <w:b/>
        </w:rPr>
        <w:t xml:space="preserve">component weights</w:t>
      </w:r>
      <w:r>
        <w:t xml:space="preserve"> </w:t>
      </w:r>
      <w:r>
        <w:t xml:space="preserve">and</w:t>
      </w:r>
      <w:r>
        <w:t xml:space="preserve"> </w:t>
      </w:r>
      <w:r>
        <w:rPr>
          <w:bCs/>
          <w:b/>
        </w:rPr>
        <w:t xml:space="preserve">task-complexity modifiers</w:t>
      </w:r>
      <w:r>
        <w:t xml:space="preserve"> </w:t>
      </w:r>
      <w:r>
        <w:t xml:space="preserve">differ by task (Table 2). This separation keeps the decision-threshold semantics interpretable across roles.</w:t>
      </w:r>
    </w:p>
    <w:bookmarkEnd w:id="24"/>
    <w:bookmarkStart w:id="25" w:name="cross-reference"/>
    <w:p>
      <w:pPr>
        <w:pStyle w:val="Heading2"/>
      </w:pPr>
      <w:r>
        <w:t xml:space="preserve">Cross-reference</w:t>
      </w:r>
    </w:p>
    <w:p>
      <w:pPr>
        <w:numPr>
          <w:ilvl w:val="0"/>
          <w:numId w:val="1003"/>
        </w:numPr>
        <w:pStyle w:val="Compact"/>
      </w:pPr>
      <w:r>
        <w:t xml:space="preserve">Per-task OPI component weights:</w:t>
      </w:r>
      <w:r>
        <w:t xml:space="preserve"> </w:t>
      </w:r>
      <w:r>
        <w:rPr>
          <w:rStyle w:val="VerbatimChar"/>
        </w:rPr>
        <w:t xml:space="preserve">manuscript/tables/opi_weight_profiles.md</w:t>
      </w:r>
    </w:p>
    <w:p>
      <w:pPr>
        <w:numPr>
          <w:ilvl w:val="0"/>
          <w:numId w:val="1003"/>
        </w:numPr>
        <w:pStyle w:val="Compact"/>
      </w:pPr>
      <w:r>
        <w:t xml:space="preserve">Vigilance-decrement and control-latency parameter values:</w:t>
      </w:r>
      <w:r>
        <w:t xml:space="preserve"> </w:t>
      </w:r>
      <w:r>
        <w:rPr>
          <w:rStyle w:val="VerbatimChar"/>
        </w:rPr>
        <w:t xml:space="preserve">manuscript/tables/opi_vigilance_latency_models.md</w:t>
      </w:r>
    </w:p>
    <w:p>
      <w:pPr>
        <w:numPr>
          <w:ilvl w:val="0"/>
          <w:numId w:val="1003"/>
        </w:numPr>
        <w:pStyle w:val="Compact"/>
      </w:pPr>
      <w:r>
        <w:t xml:space="preserve">Theoretical grounding and formula derivation:</w:t>
      </w:r>
      <w:r>
        <w:t xml:space="preserve"> </w:t>
      </w:r>
      <w:r>
        <w:rPr>
          <w:rStyle w:val="VerbatimChar"/>
        </w:rPr>
        <w:t xml:space="preserve">analysis/operational_performance_indicators_research.md</w:t>
      </w:r>
      <w:r>
        <w:t xml:space="preserve"> </w:t>
      </w:r>
      <w:r>
        <w:t xml:space="preserve">sections 2-5.</w:t>
      </w:r>
      <w:r>
        <w:t xml:space="preserve"> </w:t>
      </w:r>
      <w:r>
        <w:t xml:space="preserve"># Table 2 — OPI Component Weight Profiles and Formulation</w:t>
      </w:r>
    </w:p>
    <w:p>
      <w:pPr>
        <w:pStyle w:val="FirstParagraph"/>
      </w:pPr>
      <w:r>
        <w:t xml:space="preserve">Author: Dr Diego Malpica MD</w:t>
      </w:r>
    </w:p>
    <w:p>
      <w:pPr>
        <w:pStyle w:val="BodyText"/>
      </w:pPr>
      <w:r>
        <w:t xml:space="preserve">This table formalises the Operational Performance Indicator (OPI) composite and enumerates the per-task weight profiles for the seventeen task categories defined in Table 1. Weights are theory-derived from the HF literature cited in the column</w:t>
      </w:r>
      <w:r>
        <w:t xml:space="preserve"> </w:t>
      </w:r>
      <w:r>
        <w:t xml:space="preserve">“</w:t>
      </w:r>
      <w:r>
        <w:t xml:space="preserve">Rationale</w:t>
      </w:r>
      <w:r>
        <w:t xml:space="preserve">”</w:t>
      </w:r>
      <w:r>
        <w:t xml:space="preserve"> </w:t>
      </w:r>
      <w:r>
        <w:t xml:space="preserve">and in the derivation document</w:t>
      </w:r>
      <w:r>
        <w:t xml:space="preserve"> </w:t>
      </w:r>
      <w:r>
        <w:rPr>
          <w:rStyle w:val="VerbatimChar"/>
        </w:rPr>
        <w:t xml:space="preserve">analysis/operational_performance_indicators_research.md</w:t>
      </w:r>
      <w:r>
        <w:t xml:space="preserve">. Empirical calibration of the weights against field performance outcomes is future work.</w:t>
      </w:r>
    </w:p>
    <w:bookmarkEnd w:id="25"/>
    <w:bookmarkStart w:id="28" w:name="opi-formulation"/>
    <w:p>
      <w:pPr>
        <w:pStyle w:val="Heading2"/>
      </w:pPr>
      <w:r>
        <w:t xml:space="preserve">OPI formulation</w:t>
      </w:r>
    </w:p>
    <w:bookmarkStart w:id="26" w:name="manned-aviation-tasks-categories-1-10"/>
    <w:p>
      <w:pPr>
        <w:pStyle w:val="Heading3"/>
      </w:pPr>
      <w:r>
        <w:t xml:space="preserve">Manned-aviation tasks (categories 1-10)</w:t>
      </w:r>
    </w:p>
    <w:p>
      <w:pPr>
        <w:pStyle w:val="SourceCode"/>
      </w:pPr>
      <w:r>
        <w:rPr>
          <w:rStyle w:val="VerbatimChar"/>
        </w:rPr>
        <w:t xml:space="preserve">OPI_task = w1 · SAFTE_eff · Task_mod</w:t>
      </w:r>
      <w:r>
        <w:br/>
      </w:r>
      <w:r>
        <w:rPr>
          <w:rStyle w:val="VerbatimChar"/>
        </w:rPr>
        <w:t xml:space="preserve">         + w2 · HRV_recovery</w:t>
      </w:r>
      <w:r>
        <w:br/>
      </w:r>
      <w:r>
        <w:rPr>
          <w:rStyle w:val="VerbatimChar"/>
        </w:rPr>
        <w:t xml:space="preserve">         + w3 · Autonomic_reserve</w:t>
      </w:r>
      <w:r>
        <w:br/>
      </w:r>
      <w:r>
        <w:rPr>
          <w:rStyle w:val="VerbatimChar"/>
        </w:rPr>
        <w:t xml:space="preserve">         − Stress_penalty</w:t>
      </w:r>
      <w:r>
        <w:br/>
      </w:r>
      <w:r>
        <w:rPr>
          <w:rStyle w:val="VerbatimChar"/>
        </w:rPr>
        <w:t xml:space="preserve">         − Task_complexity_penalty</w:t>
      </w:r>
    </w:p>
    <w:p>
      <w:pPr>
        <w:pStyle w:val="FirstParagraph"/>
      </w:pPr>
      <w:r>
        <w:t xml:space="preserve">where</w:t>
      </w:r>
      <w:r>
        <w:t xml:space="preserve"> </w:t>
      </w:r>
      <w:r>
        <w:t xml:space="preserve">-</w:t>
      </w:r>
      <w:r>
        <w:t xml:space="preserve"> </w:t>
      </w:r>
      <w:r>
        <w:rPr>
          <w:rStyle w:val="VerbatimChar"/>
        </w:rPr>
        <w:t xml:space="preserve">SAFTE_eff ∈ [0, 100]</w:t>
      </w:r>
      <w:r>
        <w:t xml:space="preserve"> </w:t>
      </w:r>
      <w:r>
        <w:t xml:space="preserve">— SAFTE/FAST-style reservoir cognitive-effectiveness estimate (Hursh 2004)</w:t>
      </w:r>
      <w:r>
        <w:t xml:space="preserve"> </w:t>
      </w:r>
      <w:r>
        <w:t xml:space="preserve">-</w:t>
      </w:r>
      <w:r>
        <w:t xml:space="preserve"> </w:t>
      </w:r>
      <w:r>
        <w:rPr>
          <w:rStyle w:val="VerbatimChar"/>
        </w:rPr>
        <w:t xml:space="preserve">Task_mod ∈ [0.70, 1.00]</w:t>
      </w:r>
      <w:r>
        <w:t xml:space="preserve"> </w:t>
      </w:r>
      <w:r>
        <w:t xml:space="preserve">— task-complexity modifier (Table: task-complexity modifiers below)</w:t>
      </w:r>
      <w:r>
        <w:t xml:space="preserve"> </w:t>
      </w:r>
      <w:r>
        <w:t xml:space="preserve">-</w:t>
      </w:r>
      <w:r>
        <w:t xml:space="preserve"> </w:t>
      </w:r>
      <w:r>
        <w:rPr>
          <w:rStyle w:val="VerbatimChar"/>
        </w:rPr>
        <w:t xml:space="preserve">HRV_recovery ∈ [0, 100]</w:t>
      </w:r>
      <w:r>
        <w:t xml:space="preserve"> </w:t>
      </w:r>
      <w:r>
        <w:t xml:space="preserve">— normalised index of short-term vagal recovery (derived from RMSSD, SDNN, and baseline deviation)</w:t>
      </w:r>
      <w:r>
        <w:t xml:space="preserve"> </w:t>
      </w:r>
      <w:r>
        <w:t xml:space="preserve">-</w:t>
      </w:r>
      <w:r>
        <w:t xml:space="preserve"> </w:t>
      </w:r>
      <w:r>
        <w:rPr>
          <w:rStyle w:val="VerbatimChar"/>
        </w:rPr>
        <w:t xml:space="preserve">Autonomic_reserve ∈ [0, 100]</w:t>
      </w:r>
      <w:r>
        <w:t xml:space="preserve"> </w:t>
      </w:r>
      <w:r>
        <w:t xml:space="preserve">— normalised index of autonomic regulatory capacity (derived from HRV complexity and entropy metrics)</w:t>
      </w:r>
      <w:r>
        <w:t xml:space="preserve"> </w:t>
      </w:r>
      <w:r>
        <w:t xml:space="preserve">-</w:t>
      </w:r>
      <w:r>
        <w:t xml:space="preserve"> </w:t>
      </w:r>
      <w:r>
        <w:rPr>
          <w:rStyle w:val="VerbatimChar"/>
        </w:rPr>
        <w:t xml:space="preserve">Stress_penalty = max(0, stress_index − 150) · 0.15</w:t>
      </w:r>
      <w:r>
        <w:t xml:space="preserve"> </w:t>
      </w:r>
      <w:r>
        <w:t xml:space="preserve">— penalty beyond Baevsky stress-index threshold</w:t>
      </w:r>
      <w:r>
        <w:t xml:space="preserve"> </w:t>
      </w:r>
      <w:r>
        <w:t xml:space="preserve">-</w:t>
      </w:r>
      <w:r>
        <w:t xml:space="preserve"> </w:t>
      </w:r>
      <w:r>
        <w:rPr>
          <w:rStyle w:val="VerbatimChar"/>
        </w:rPr>
        <w:t xml:space="preserve">Task_complexity_penalty = 5 · (1 − Task_mod)</w:t>
      </w:r>
      <w:r>
        <w:t xml:space="preserve"> </w:t>
      </w:r>
      <w:r>
        <w:t xml:space="preserve">— explicit penalty for compound high-complexity conditions</w:t>
      </w:r>
      <w:r>
        <w:t xml:space="preserve"> </w:t>
      </w:r>
      <w:r>
        <w:t xml:space="preserve">-</w:t>
      </w:r>
      <w:r>
        <w:t xml:space="preserve"> </w:t>
      </w:r>
      <w:r>
        <w:rPr>
          <w:rStyle w:val="VerbatimChar"/>
        </w:rPr>
        <w:t xml:space="preserve">w1 + w2 + w3 = 1.00</w:t>
      </w:r>
      <w:r>
        <w:t xml:space="preserve"> </w:t>
      </w:r>
      <w:r>
        <w:t xml:space="preserve">(normalisation constraint)</w:t>
      </w:r>
    </w:p>
    <w:bookmarkEnd w:id="26"/>
    <w:bookmarkStart w:id="27" w:name="uas-teleoperator-tasks-categories-11-17"/>
    <w:p>
      <w:pPr>
        <w:pStyle w:val="Heading3"/>
      </w:pPr>
      <w:r>
        <w:t xml:space="preserve">UAS / teleoperator tasks (categories 11-17)</w:t>
      </w:r>
    </w:p>
    <w:p>
      <w:pPr>
        <w:pStyle w:val="SourceCode"/>
      </w:pPr>
      <w:r>
        <w:rPr>
          <w:rStyle w:val="VerbatimChar"/>
        </w:rPr>
        <w:t xml:space="preserve">OPI_UAS = w1 · SAFTE_eff</w:t>
      </w:r>
      <w:r>
        <w:br/>
      </w:r>
      <w:r>
        <w:rPr>
          <w:rStyle w:val="VerbatimChar"/>
        </w:rPr>
        <w:t xml:space="preserve">        + w2 · Vigilance_adj</w:t>
      </w:r>
      <w:r>
        <w:br/>
      </w:r>
      <w:r>
        <w:rPr>
          <w:rStyle w:val="VerbatimChar"/>
        </w:rPr>
        <w:t xml:space="preserve">        + w3 · HRV_recovery</w:t>
      </w:r>
      <w:r>
        <w:br/>
      </w:r>
      <w:r>
        <w:rPr>
          <w:rStyle w:val="VerbatimChar"/>
        </w:rPr>
        <w:t xml:space="preserve">        + w4 · Attention_capacity</w:t>
      </w:r>
      <w:r>
        <w:br/>
      </w:r>
      <w:r>
        <w:rPr>
          <w:rStyle w:val="VerbatimChar"/>
        </w:rPr>
        <w:t xml:space="preserve">        − Latency_penalty</w:t>
      </w:r>
      <w:r>
        <w:br/>
      </w:r>
      <w:r>
        <w:rPr>
          <w:rStyle w:val="VerbatimChar"/>
        </w:rPr>
        <w:t xml:space="preserve">        − Multi_vehicle_penalty</w:t>
      </w:r>
    </w:p>
    <w:p>
      <w:pPr>
        <w:pStyle w:val="FirstParagraph"/>
      </w:pPr>
      <w:r>
        <w:t xml:space="preserve">where</w:t>
      </w:r>
      <w:r>
        <w:t xml:space="preserve"> </w:t>
      </w:r>
      <w:r>
        <w:t xml:space="preserve">-</w:t>
      </w:r>
      <w:r>
        <w:t xml:space="preserve"> </w:t>
      </w:r>
      <w:r>
        <w:rPr>
          <w:rStyle w:val="VerbatimChar"/>
        </w:rPr>
        <w:t xml:space="preserve">Vigilance_adj = Vigilance_capacity(t)</w:t>
      </w:r>
      <w:r>
        <w:t xml:space="preserve"> </w:t>
      </w:r>
      <w:r>
        <w:t xml:space="preserve">per Warm 2008 decrement model (Table 3)</w:t>
      </w:r>
      <w:r>
        <w:t xml:space="preserve"> </w:t>
      </w:r>
      <w:r>
        <w:t xml:space="preserve">-</w:t>
      </w:r>
      <w:r>
        <w:t xml:space="preserve"> </w:t>
      </w:r>
      <w:r>
        <w:rPr>
          <w:rStyle w:val="VerbatimChar"/>
        </w:rPr>
        <w:t xml:space="preserve">Attention_capacity ∈ [0, 100]</w:t>
      </w:r>
      <w:r>
        <w:t xml:space="preserve"> </w:t>
      </w:r>
      <w:r>
        <w:t xml:space="preserve">— normalised index combining SampEn and DFA-α1 as proxies for cognitive reserve</w:t>
      </w:r>
      <w:r>
        <w:t xml:space="preserve"> </w:t>
      </w:r>
      <w:r>
        <w:t xml:space="preserve">-</w:t>
      </w:r>
      <w:r>
        <w:t xml:space="preserve"> </w:t>
      </w:r>
      <w:r>
        <w:rPr>
          <w:rStyle w:val="VerbatimChar"/>
        </w:rPr>
        <w:t xml:space="preserve">Latency_penalty = 0.5 · ln(1 + latency_ms / 100)</w:t>
      </w:r>
      <w:r>
        <w:t xml:space="preserve"> </w:t>
      </w:r>
      <w:r>
        <w:t xml:space="preserve">per Chen 2007 teleoperator model</w:t>
      </w:r>
      <w:r>
        <w:t xml:space="preserve"> </w:t>
      </w:r>
      <w:r>
        <w:t xml:space="preserve">-</w:t>
      </w:r>
      <w:r>
        <w:t xml:space="preserve"> </w:t>
      </w:r>
      <w:r>
        <w:rPr>
          <w:rStyle w:val="VerbatimChar"/>
        </w:rPr>
        <w:t xml:space="preserve">Multi_vehicle_penalty = 3 · (n_vehicles − 1)</w:t>
      </w:r>
      <w:r>
        <w:t xml:space="preserve"> </w:t>
      </w:r>
      <w:r>
        <w:t xml:space="preserve">for supervisory-control tasks</w:t>
      </w:r>
      <w:r>
        <w:t xml:space="preserve"> </w:t>
      </w:r>
      <w:r>
        <w:t xml:space="preserve">-</w:t>
      </w:r>
      <w:r>
        <w:t xml:space="preserve"> </w:t>
      </w:r>
      <w:r>
        <w:rPr>
          <w:rStyle w:val="VerbatimChar"/>
        </w:rPr>
        <w:t xml:space="preserve">w1 + w2 + w3 + w4 = 1.00</w:t>
      </w:r>
      <w:r>
        <w:t xml:space="preserve"> </w:t>
      </w:r>
      <w:r>
        <w:t xml:space="preserve">(normalisation constraint)</w:t>
      </w:r>
    </w:p>
    <w:bookmarkEnd w:id="27"/>
    <w:bookmarkEnd w:id="28"/>
    <w:bookmarkStart w:id="31" w:name="per-task-component-weight-profiles"/>
    <w:p>
      <w:pPr>
        <w:pStyle w:val="Heading2"/>
      </w:pPr>
      <w:r>
        <w:t xml:space="preserve">Per-task component weight profiles</w:t>
      </w:r>
    </w:p>
    <w:bookmarkStart w:id="29" w:name="Xbe16927f408cab7fc31aca39dbeb45afec85154"/>
    <w:p>
      <w:pPr>
        <w:pStyle w:val="Heading3"/>
      </w:pPr>
      <w:r>
        <w:t xml:space="preserve">Manned aviation (w1 SAFTE / w2 HRV-recovery / w3 autonomic-reserve)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Task category</w:t>
            </w:r>
          </w:p>
        </w:tc>
        <w:tc>
          <w:tcPr/>
          <w:p>
            <w:pPr>
              <w:pStyle w:val="Compact"/>
              <w:jc w:val="left"/>
            </w:pPr>
            <w:r>
              <w:t xml:space="preserve">w1 (SAFTE)</w:t>
            </w:r>
          </w:p>
        </w:tc>
        <w:tc>
          <w:tcPr/>
          <w:p>
            <w:pPr>
              <w:pStyle w:val="Compact"/>
              <w:jc w:val="left"/>
            </w:pPr>
            <w:r>
              <w:t xml:space="preserve">w2 (HRV-recov)</w:t>
            </w:r>
          </w:p>
        </w:tc>
        <w:tc>
          <w:tcPr/>
          <w:p>
            <w:pPr>
              <w:pStyle w:val="Compact"/>
              <w:jc w:val="left"/>
            </w:pPr>
            <w:r>
              <w:t xml:space="preserve">w3 (Auto-res)</w:t>
            </w:r>
          </w:p>
        </w:tc>
        <w:tc>
          <w:tcPr/>
          <w:p>
            <w:pPr>
              <w:pStyle w:val="Compact"/>
              <w:jc w:val="left"/>
            </w:pPr>
            <w:r>
              <w:t xml:space="preserve">Rationale</w:t>
            </w:r>
          </w:p>
        </w:tc>
      </w:tr>
      <w:tr>
        <w:tc>
          <w:tcPr/>
          <w:p>
            <w:pPr>
              <w:pStyle w:val="Compact"/>
              <w:jc w:val="left"/>
            </w:pPr>
            <w:r>
              <w:t xml:space="preserve">1</w:t>
            </w:r>
          </w:p>
        </w:tc>
        <w:tc>
          <w:tcPr/>
          <w:p>
            <w:pPr>
              <w:pStyle w:val="Compact"/>
              <w:jc w:val="left"/>
            </w:pPr>
            <w:r>
              <w:t xml:space="preserve">IMC flying</w:t>
            </w:r>
          </w:p>
        </w:tc>
        <w:tc>
          <w:tcPr/>
          <w:p>
            <w:pPr>
              <w:pStyle w:val="Compact"/>
              <w:jc w:val="left"/>
            </w:pPr>
            <w:r>
              <w:t xml:space="preserve">0.55</w:t>
            </w:r>
          </w:p>
        </w:tc>
        <w:tc>
          <w:tcPr/>
          <w:p>
            <w:pPr>
              <w:pStyle w:val="Compact"/>
              <w:jc w:val="left"/>
            </w:pPr>
            <w:r>
              <w:t xml:space="preserve">0.25</w:t>
            </w:r>
          </w:p>
        </w:tc>
        <w:tc>
          <w:tcPr/>
          <w:p>
            <w:pPr>
              <w:pStyle w:val="Compact"/>
              <w:jc w:val="left"/>
            </w:pPr>
            <w:r>
              <w:t xml:space="preserve">0.20</w:t>
            </w:r>
          </w:p>
        </w:tc>
        <w:tc>
          <w:tcPr/>
          <w:p>
            <w:pPr>
              <w:pStyle w:val="Compact"/>
              <w:jc w:val="left"/>
            </w:pPr>
            <w:r>
              <w:t xml:space="preserve">Sustained cognitive load; fatigue-sensitive per Morris 2020 and Roscoe 1992</w:t>
            </w:r>
          </w:p>
        </w:tc>
      </w:tr>
      <w:tr>
        <w:tc>
          <w:tcPr/>
          <w:p>
            <w:pPr>
              <w:pStyle w:val="Compact"/>
              <w:jc w:val="left"/>
            </w:pPr>
            <w:r>
              <w:t xml:space="preserve">2</w:t>
            </w:r>
          </w:p>
        </w:tc>
        <w:tc>
          <w:tcPr/>
          <w:p>
            <w:pPr>
              <w:pStyle w:val="Compact"/>
              <w:jc w:val="left"/>
            </w:pPr>
            <w:r>
              <w:t xml:space="preserve">NVD operations</w:t>
            </w:r>
          </w:p>
        </w:tc>
        <w:tc>
          <w:tcPr/>
          <w:p>
            <w:pPr>
              <w:pStyle w:val="Compact"/>
              <w:jc w:val="left"/>
            </w:pPr>
            <w:r>
              <w:t xml:space="preserve">0.50</w:t>
            </w:r>
          </w:p>
        </w:tc>
        <w:tc>
          <w:tcPr/>
          <w:p>
            <w:pPr>
              <w:pStyle w:val="Compact"/>
              <w:jc w:val="left"/>
            </w:pPr>
            <w:r>
              <w:t xml:space="preserve">0.25</w:t>
            </w:r>
          </w:p>
        </w:tc>
        <w:tc>
          <w:tcPr/>
          <w:p>
            <w:pPr>
              <w:pStyle w:val="Compact"/>
              <w:jc w:val="left"/>
            </w:pPr>
            <w:r>
              <w:t xml:space="preserve">0.25</w:t>
            </w:r>
          </w:p>
        </w:tc>
        <w:tc>
          <w:tcPr/>
          <w:p>
            <w:pPr>
              <w:pStyle w:val="Compact"/>
              <w:jc w:val="left"/>
            </w:pPr>
            <w:r>
              <w:t xml:space="preserve">Visual + cognitive fatigue; circadian-trough dominant; Crowley 1991; Rash 2009</w:t>
            </w:r>
          </w:p>
        </w:tc>
      </w:tr>
      <w:tr>
        <w:tc>
          <w:tcPr/>
          <w:p>
            <w:pPr>
              <w:pStyle w:val="Compact"/>
              <w:jc w:val="left"/>
            </w:pPr>
            <w:r>
              <w:t xml:space="preserve">3</w:t>
            </w:r>
          </w:p>
        </w:tc>
        <w:tc>
          <w:tcPr/>
          <w:p>
            <w:pPr>
              <w:pStyle w:val="Compact"/>
              <w:jc w:val="left"/>
            </w:pPr>
            <w:r>
              <w:t xml:space="preserve">HMD flying</w:t>
            </w:r>
          </w:p>
        </w:tc>
        <w:tc>
          <w:tcPr/>
          <w:p>
            <w:pPr>
              <w:pStyle w:val="Compact"/>
              <w:jc w:val="left"/>
            </w:pPr>
            <w:r>
              <w:t xml:space="preserve">0.50</w:t>
            </w:r>
          </w:p>
        </w:tc>
        <w:tc>
          <w:tcPr/>
          <w:p>
            <w:pPr>
              <w:pStyle w:val="Compact"/>
              <w:jc w:val="left"/>
            </w:pPr>
            <w:r>
              <w:t xml:space="preserve">0.30</w:t>
            </w:r>
          </w:p>
        </w:tc>
        <w:tc>
          <w:tcPr/>
          <w:p>
            <w:pPr>
              <w:pStyle w:val="Compact"/>
              <w:jc w:val="left"/>
            </w:pPr>
            <w:r>
              <w:t xml:space="preserve">0.20</w:t>
            </w:r>
          </w:p>
        </w:tc>
        <w:tc>
          <w:tcPr/>
          <w:p>
            <w:pPr>
              <w:pStyle w:val="Compact"/>
              <w:jc w:val="left"/>
            </w:pPr>
            <w:r>
              <w:t xml:space="preserve">High information-processing rate; dual-task interference per Wickens 2008</w:t>
            </w:r>
          </w:p>
        </w:tc>
      </w:tr>
      <w:tr>
        <w:tc>
          <w:tcPr/>
          <w:p>
            <w:pPr>
              <w:pStyle w:val="Compact"/>
              <w:jc w:val="left"/>
            </w:pPr>
            <w:r>
              <w:t xml:space="preserve">4</w:t>
            </w:r>
          </w:p>
        </w:tc>
        <w:tc>
          <w:tcPr/>
          <w:p>
            <w:pPr>
              <w:pStyle w:val="Compact"/>
              <w:jc w:val="left"/>
            </w:pPr>
            <w:r>
              <w:t xml:space="preserve">High-density ATC</w:t>
            </w:r>
          </w:p>
        </w:tc>
        <w:tc>
          <w:tcPr/>
          <w:p>
            <w:pPr>
              <w:pStyle w:val="Compact"/>
              <w:jc w:val="left"/>
            </w:pPr>
            <w:r>
              <w:t xml:space="preserve">0.45</w:t>
            </w:r>
          </w:p>
        </w:tc>
        <w:tc>
          <w:tcPr/>
          <w:p>
            <w:pPr>
              <w:pStyle w:val="Compact"/>
              <w:jc w:val="left"/>
            </w:pPr>
            <w:r>
              <w:t xml:space="preserve">0.30</w:t>
            </w:r>
          </w:p>
        </w:tc>
        <w:tc>
          <w:tcPr/>
          <w:p>
            <w:pPr>
              <w:pStyle w:val="Compact"/>
              <w:jc w:val="left"/>
            </w:pPr>
            <w:r>
              <w:t xml:space="preserve">0.25</w:t>
            </w:r>
          </w:p>
        </w:tc>
        <w:tc>
          <w:tcPr/>
          <w:p>
            <w:pPr>
              <w:pStyle w:val="Compact"/>
              <w:jc w:val="left"/>
            </w:pPr>
            <w:r>
              <w:t xml:space="preserve">Communication-stress load; Brookings 1996; Vogt 2006</w:t>
            </w:r>
          </w:p>
        </w:tc>
      </w:tr>
      <w:tr>
        <w:tc>
          <w:tcPr/>
          <w:p>
            <w:pPr>
              <w:pStyle w:val="Compact"/>
              <w:jc w:val="left"/>
            </w:pPr>
            <w:r>
              <w:t xml:space="preserve">5</w:t>
            </w:r>
          </w:p>
        </w:tc>
        <w:tc>
          <w:tcPr/>
          <w:p>
            <w:pPr>
              <w:pStyle w:val="Compact"/>
              <w:jc w:val="left"/>
            </w:pPr>
            <w:r>
              <w:t xml:space="preserve">Emergency (critical)</w:t>
            </w:r>
          </w:p>
        </w:tc>
        <w:tc>
          <w:tcPr/>
          <w:p>
            <w:pPr>
              <w:pStyle w:val="Compact"/>
              <w:jc w:val="left"/>
            </w:pPr>
            <w:r>
              <w:t xml:space="preserve">0.40</w:t>
            </w:r>
          </w:p>
        </w:tc>
        <w:tc>
          <w:tcPr/>
          <w:p>
            <w:pPr>
              <w:pStyle w:val="Compact"/>
              <w:jc w:val="left"/>
            </w:pPr>
            <w:r>
              <w:t xml:space="preserve">0.35</w:t>
            </w:r>
          </w:p>
        </w:tc>
        <w:tc>
          <w:tcPr/>
          <w:p>
            <w:pPr>
              <w:pStyle w:val="Compact"/>
              <w:jc w:val="left"/>
            </w:pPr>
            <w:r>
              <w:t xml:space="preserve">0.25</w:t>
            </w:r>
          </w:p>
        </w:tc>
        <w:tc>
          <w:tcPr/>
          <w:p>
            <w:pPr>
              <w:pStyle w:val="Compact"/>
              <w:jc w:val="left"/>
            </w:pPr>
            <w:r>
              <w:t xml:space="preserve">Acute stress tolerance dominates; recovery post-eustress important; Driskell 1996</w:t>
            </w:r>
          </w:p>
        </w:tc>
      </w:tr>
      <w:tr>
        <w:tc>
          <w:tcPr/>
          <w:p>
            <w:pPr>
              <w:pStyle w:val="Compact"/>
              <w:jc w:val="left"/>
            </w:pPr>
            <w:r>
              <w:t xml:space="preserve">6</w:t>
            </w:r>
          </w:p>
        </w:tc>
        <w:tc>
          <w:tcPr/>
          <w:p>
            <w:pPr>
              <w:pStyle w:val="Compact"/>
              <w:jc w:val="left"/>
            </w:pPr>
            <w:r>
              <w:t xml:space="preserve">Emergency (non-critical)</w:t>
            </w:r>
          </w:p>
        </w:tc>
        <w:tc>
          <w:tcPr/>
          <w:p>
            <w:pPr>
              <w:pStyle w:val="Compact"/>
              <w:jc w:val="left"/>
            </w:pPr>
            <w:r>
              <w:t xml:space="preserve">0.50</w:t>
            </w:r>
          </w:p>
        </w:tc>
        <w:tc>
          <w:tcPr/>
          <w:p>
            <w:pPr>
              <w:pStyle w:val="Compact"/>
              <w:jc w:val="left"/>
            </w:pPr>
            <w:r>
              <w:t xml:space="preserve">0.25</w:t>
            </w:r>
          </w:p>
        </w:tc>
        <w:tc>
          <w:tcPr/>
          <w:p>
            <w:pPr>
              <w:pStyle w:val="Compact"/>
              <w:jc w:val="left"/>
            </w:pPr>
            <w:r>
              <w:t xml:space="preserve">0.25</w:t>
            </w:r>
          </w:p>
        </w:tc>
        <w:tc>
          <w:tcPr/>
          <w:p>
            <w:pPr>
              <w:pStyle w:val="Compact"/>
              <w:jc w:val="left"/>
            </w:pPr>
            <w:r>
              <w:t xml:space="preserve">Moderate stress; procedure execution; mixed SAFTE + HRV</w:t>
            </w:r>
          </w:p>
        </w:tc>
      </w:tr>
      <w:tr>
        <w:tc>
          <w:tcPr/>
          <w:p>
            <w:pPr>
              <w:pStyle w:val="Compact"/>
              <w:jc w:val="left"/>
            </w:pPr>
            <w:r>
              <w:t xml:space="preserve">7</w:t>
            </w:r>
          </w:p>
        </w:tc>
        <w:tc>
          <w:tcPr/>
          <w:p>
            <w:pPr>
              <w:pStyle w:val="Compact"/>
              <w:jc w:val="left"/>
            </w:pPr>
            <w:r>
              <w:t xml:space="preserve">Test pilot</w:t>
            </w:r>
          </w:p>
        </w:tc>
        <w:tc>
          <w:tcPr/>
          <w:p>
            <w:pPr>
              <w:pStyle w:val="Compact"/>
              <w:jc w:val="left"/>
            </w:pPr>
            <w:r>
              <w:t xml:space="preserve">0.45</w:t>
            </w:r>
          </w:p>
        </w:tc>
        <w:tc>
          <w:tcPr/>
          <w:p>
            <w:pPr>
              <w:pStyle w:val="Compact"/>
              <w:jc w:val="left"/>
            </w:pPr>
            <w:r>
              <w:t xml:space="preserve">0.30</w:t>
            </w:r>
          </w:p>
        </w:tc>
        <w:tc>
          <w:tcPr/>
          <w:p>
            <w:pPr>
              <w:pStyle w:val="Compact"/>
              <w:jc w:val="left"/>
            </w:pPr>
            <w:r>
              <w:t xml:space="preserve">0.25</w:t>
            </w:r>
          </w:p>
        </w:tc>
        <w:tc>
          <w:tcPr/>
          <w:p>
            <w:pPr>
              <w:pStyle w:val="Compact"/>
              <w:jc w:val="left"/>
            </w:pPr>
            <w:r>
              <w:t xml:space="preserve">Uncertainty tolerance; self-selected baseline; Carretta 2011</w:t>
            </w:r>
          </w:p>
        </w:tc>
      </w:tr>
      <w:tr>
        <w:tc>
          <w:tcPr/>
          <w:p>
            <w:pPr>
              <w:pStyle w:val="Compact"/>
              <w:jc w:val="left"/>
            </w:pPr>
            <w:r>
              <w:t xml:space="preserve">8</w:t>
            </w:r>
          </w:p>
        </w:tc>
        <w:tc>
          <w:tcPr/>
          <w:p>
            <w:pPr>
              <w:pStyle w:val="Compact"/>
              <w:jc w:val="left"/>
            </w:pPr>
            <w:r>
              <w:t xml:space="preserve">Carrier landing</w:t>
            </w:r>
          </w:p>
        </w:tc>
        <w:tc>
          <w:tcPr/>
          <w:p>
            <w:pPr>
              <w:pStyle w:val="Compact"/>
              <w:jc w:val="left"/>
            </w:pPr>
            <w:r>
              <w:t xml:space="preserve">0.50</w:t>
            </w:r>
          </w:p>
        </w:tc>
        <w:tc>
          <w:tcPr/>
          <w:p>
            <w:pPr>
              <w:pStyle w:val="Compact"/>
              <w:jc w:val="left"/>
            </w:pPr>
            <w:r>
              <w:t xml:space="preserve">0.30</w:t>
            </w:r>
          </w:p>
        </w:tc>
        <w:tc>
          <w:tcPr/>
          <w:p>
            <w:pPr>
              <w:pStyle w:val="Compact"/>
              <w:jc w:val="left"/>
            </w:pPr>
            <w:r>
              <w:t xml:space="preserve">0.20</w:t>
            </w:r>
          </w:p>
        </w:tc>
        <w:tc>
          <w:tcPr/>
          <w:p>
            <w:pPr>
              <w:pStyle w:val="Compact"/>
              <w:jc w:val="left"/>
            </w:pPr>
            <w:r>
              <w:t xml:space="preserve">Precision motor control; fine-motor markers drive component weighting; Bolia 2007</w:t>
            </w:r>
          </w:p>
        </w:tc>
      </w:tr>
      <w:tr>
        <w:tc>
          <w:tcPr/>
          <w:p>
            <w:pPr>
              <w:pStyle w:val="Compact"/>
              <w:jc w:val="left"/>
            </w:pPr>
            <w:r>
              <w:t xml:space="preserve">9</w:t>
            </w:r>
          </w:p>
        </w:tc>
        <w:tc>
          <w:tcPr/>
          <w:p>
            <w:pPr>
              <w:pStyle w:val="Compact"/>
              <w:jc w:val="left"/>
            </w:pPr>
            <w:r>
              <w:t xml:space="preserve">Weapons delivery</w:t>
            </w:r>
          </w:p>
        </w:tc>
        <w:tc>
          <w:tcPr/>
          <w:p>
            <w:pPr>
              <w:pStyle w:val="Compact"/>
              <w:jc w:val="left"/>
            </w:pPr>
            <w:r>
              <w:t xml:space="preserve">0.50</w:t>
            </w:r>
          </w:p>
        </w:tc>
        <w:tc>
          <w:tcPr/>
          <w:p>
            <w:pPr>
              <w:pStyle w:val="Compact"/>
              <w:jc w:val="left"/>
            </w:pPr>
            <w:r>
              <w:t xml:space="preserve">0.25</w:t>
            </w:r>
          </w:p>
        </w:tc>
        <w:tc>
          <w:tcPr/>
          <w:p>
            <w:pPr>
              <w:pStyle w:val="Compact"/>
              <w:jc w:val="left"/>
            </w:pPr>
            <w:r>
              <w:t xml:space="preserve">0.25</w:t>
            </w:r>
          </w:p>
        </w:tc>
        <w:tc>
          <w:tcPr/>
          <w:p>
            <w:pPr>
              <w:pStyle w:val="Compact"/>
              <w:jc w:val="left"/>
            </w:pPr>
            <w:r>
              <w:t xml:space="preserve">Sustained attention + transient execution stress; Endsley 1995; Schreiber 2004</w:t>
            </w:r>
          </w:p>
        </w:tc>
      </w:tr>
      <w:tr>
        <w:tc>
          <w:tcPr/>
          <w:p>
            <w:pPr>
              <w:pStyle w:val="Compact"/>
              <w:jc w:val="left"/>
            </w:pPr>
            <w:r>
              <w:t xml:space="preserve">10</w:t>
            </w:r>
          </w:p>
        </w:tc>
        <w:tc>
          <w:tcPr/>
          <w:p>
            <w:pPr>
              <w:pStyle w:val="Compact"/>
              <w:jc w:val="left"/>
            </w:pPr>
            <w:r>
              <w:t xml:space="preserve">New platform testing</w:t>
            </w:r>
          </w:p>
        </w:tc>
        <w:tc>
          <w:tcPr/>
          <w:p>
            <w:pPr>
              <w:pStyle w:val="Compact"/>
              <w:jc w:val="left"/>
            </w:pPr>
            <w:r>
              <w:t xml:space="preserve">0.55</w:t>
            </w:r>
          </w:p>
        </w:tc>
        <w:tc>
          <w:tcPr/>
          <w:p>
            <w:pPr>
              <w:pStyle w:val="Compact"/>
              <w:jc w:val="left"/>
            </w:pPr>
            <w:r>
              <w:t xml:space="preserve">0.25</w:t>
            </w:r>
          </w:p>
        </w:tc>
        <w:tc>
          <w:tcPr/>
          <w:p>
            <w:pPr>
              <w:pStyle w:val="Compact"/>
              <w:jc w:val="left"/>
            </w:pPr>
            <w:r>
              <w:t xml:space="preserve">0.20</w:t>
            </w:r>
          </w:p>
        </w:tc>
        <w:tc>
          <w:tcPr/>
          <w:p>
            <w:pPr>
              <w:pStyle w:val="Compact"/>
              <w:jc w:val="left"/>
            </w:pPr>
            <w:r>
              <w:t xml:space="preserve">Learning load; mode-confusion risk; Casner 2014</w:t>
            </w:r>
          </w:p>
        </w:tc>
      </w:tr>
    </w:tbl>
    <w:p>
      <w:pPr>
        <w:pStyle w:val="BodyText"/>
      </w:pPr>
      <w:r>
        <w:t xml:space="preserve">Normalisation check: each row sums to 1.00.</w:t>
      </w:r>
    </w:p>
    <w:bookmarkEnd w:id="29"/>
    <w:bookmarkStart w:id="30" w:name="X4989c5ed4e0c69ac88e829064798a86245f48d7"/>
    <w:p>
      <w:pPr>
        <w:pStyle w:val="Heading3"/>
      </w:pPr>
      <w:r>
        <w:t xml:space="preserve">UAS / teleoperator (w1 SAFTE / w2 vigilance / w3 HRV-recov / w4 attention-capacity)</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Task category</w:t>
            </w:r>
          </w:p>
        </w:tc>
        <w:tc>
          <w:tcPr/>
          <w:p>
            <w:pPr>
              <w:pStyle w:val="Compact"/>
              <w:jc w:val="left"/>
            </w:pPr>
            <w:r>
              <w:t xml:space="preserve">w1 (SAFTE)</w:t>
            </w:r>
          </w:p>
        </w:tc>
        <w:tc>
          <w:tcPr/>
          <w:p>
            <w:pPr>
              <w:pStyle w:val="Compact"/>
              <w:jc w:val="left"/>
            </w:pPr>
            <w:r>
              <w:t xml:space="preserve">w2 (Vigilance)</w:t>
            </w:r>
          </w:p>
        </w:tc>
        <w:tc>
          <w:tcPr/>
          <w:p>
            <w:pPr>
              <w:pStyle w:val="Compact"/>
              <w:jc w:val="left"/>
            </w:pPr>
            <w:r>
              <w:t xml:space="preserve">w3 (HRV-recov)</w:t>
            </w:r>
          </w:p>
        </w:tc>
        <w:tc>
          <w:tcPr/>
          <w:p>
            <w:pPr>
              <w:pStyle w:val="Compact"/>
              <w:jc w:val="left"/>
            </w:pPr>
            <w:r>
              <w:t xml:space="preserve">w4 (Attention)</w:t>
            </w:r>
          </w:p>
        </w:tc>
        <w:tc>
          <w:tcPr/>
          <w:p>
            <w:pPr>
              <w:pStyle w:val="Compact"/>
              <w:jc w:val="left"/>
            </w:pPr>
            <w:r>
              <w:t xml:space="preserve">Rationale</w:t>
            </w:r>
          </w:p>
        </w:tc>
      </w:tr>
      <w:tr>
        <w:tc>
          <w:tcPr/>
          <w:p>
            <w:pPr>
              <w:pStyle w:val="Compact"/>
              <w:jc w:val="left"/>
            </w:pPr>
            <w:r>
              <w:t xml:space="preserve">11</w:t>
            </w:r>
          </w:p>
        </w:tc>
        <w:tc>
          <w:tcPr/>
          <w:p>
            <w:pPr>
              <w:pStyle w:val="Compact"/>
              <w:jc w:val="left"/>
            </w:pPr>
            <w:r>
              <w:t xml:space="preserve">ISR (high-event)</w:t>
            </w:r>
          </w:p>
        </w:tc>
        <w:tc>
          <w:tcPr/>
          <w:p>
            <w:pPr>
              <w:pStyle w:val="Compact"/>
              <w:jc w:val="left"/>
            </w:pPr>
            <w:r>
              <w:t xml:space="preserve">0.35</w:t>
            </w:r>
          </w:p>
        </w:tc>
        <w:tc>
          <w:tcPr/>
          <w:p>
            <w:pPr>
              <w:pStyle w:val="Compact"/>
              <w:jc w:val="left"/>
            </w:pPr>
            <w:r>
              <w:t xml:space="preserve">0.30</w:t>
            </w:r>
          </w:p>
        </w:tc>
        <w:tc>
          <w:tcPr/>
          <w:p>
            <w:pPr>
              <w:pStyle w:val="Compact"/>
              <w:jc w:val="left"/>
            </w:pPr>
            <w:r>
              <w:t xml:space="preserve">0.15</w:t>
            </w:r>
          </w:p>
        </w:tc>
        <w:tc>
          <w:tcPr/>
          <w:p>
            <w:pPr>
              <w:pStyle w:val="Compact"/>
              <w:jc w:val="left"/>
            </w:pPr>
            <w:r>
              <w:t xml:space="preserve">0.20</w:t>
            </w:r>
          </w:p>
        </w:tc>
        <w:tc>
          <w:tcPr/>
          <w:p>
            <w:pPr>
              <w:pStyle w:val="Compact"/>
              <w:jc w:val="left"/>
            </w:pPr>
            <w:r>
              <w:t xml:space="preserve">Sustained vigilance + discrete-event workload; Warm 2008</w:t>
            </w:r>
          </w:p>
        </w:tc>
      </w:tr>
      <w:tr>
        <w:tc>
          <w:tcPr/>
          <w:p>
            <w:pPr>
              <w:pStyle w:val="Compact"/>
              <w:jc w:val="left"/>
            </w:pPr>
            <w:r>
              <w:t xml:space="preserve">12</w:t>
            </w:r>
          </w:p>
        </w:tc>
        <w:tc>
          <w:tcPr/>
          <w:p>
            <w:pPr>
              <w:pStyle w:val="Compact"/>
              <w:jc w:val="left"/>
            </w:pPr>
            <w:r>
              <w:t xml:space="preserve">Strike</w:t>
            </w:r>
          </w:p>
        </w:tc>
        <w:tc>
          <w:tcPr/>
          <w:p>
            <w:pPr>
              <w:pStyle w:val="Compact"/>
              <w:jc w:val="left"/>
            </w:pPr>
            <w:r>
              <w:t xml:space="preserve">0.30</w:t>
            </w:r>
          </w:p>
        </w:tc>
        <w:tc>
          <w:tcPr/>
          <w:p>
            <w:pPr>
              <w:pStyle w:val="Compact"/>
              <w:jc w:val="left"/>
            </w:pPr>
            <w:r>
              <w:t xml:space="preserve">0.15</w:t>
            </w:r>
          </w:p>
        </w:tc>
        <w:tc>
          <w:tcPr/>
          <w:p>
            <w:pPr>
              <w:pStyle w:val="Compact"/>
              <w:jc w:val="left"/>
            </w:pPr>
            <w:r>
              <w:t xml:space="preserve">0.25</w:t>
            </w:r>
          </w:p>
        </w:tc>
        <w:tc>
          <w:tcPr/>
          <w:p>
            <w:pPr>
              <w:pStyle w:val="Compact"/>
              <w:jc w:val="left"/>
            </w:pPr>
            <w:r>
              <w:t xml:space="preserve">0.30</w:t>
            </w:r>
          </w:p>
        </w:tc>
        <w:tc>
          <w:tcPr/>
          <w:p>
            <w:pPr>
              <w:pStyle w:val="Compact"/>
              <w:jc w:val="left"/>
            </w:pPr>
            <w:r>
              <w:t xml:space="preserve">Decision accuracy under threat; entropy-based attention reserve critical</w:t>
            </w:r>
          </w:p>
        </w:tc>
      </w:tr>
      <w:tr>
        <w:tc>
          <w:tcPr/>
          <w:p>
            <w:pPr>
              <w:pStyle w:val="Compact"/>
              <w:jc w:val="left"/>
            </w:pPr>
            <w:r>
              <w:t xml:space="preserve">13</w:t>
            </w:r>
          </w:p>
        </w:tc>
        <w:tc>
          <w:tcPr/>
          <w:p>
            <w:pPr>
              <w:pStyle w:val="Compact"/>
              <w:jc w:val="left"/>
            </w:pPr>
            <w:r>
              <w:t xml:space="preserve">SAR / CSAR</w:t>
            </w:r>
          </w:p>
        </w:tc>
        <w:tc>
          <w:tcPr/>
          <w:p>
            <w:pPr>
              <w:pStyle w:val="Compact"/>
              <w:jc w:val="left"/>
            </w:pPr>
            <w:r>
              <w:t xml:space="preserve">0.30</w:t>
            </w:r>
          </w:p>
        </w:tc>
        <w:tc>
          <w:tcPr/>
          <w:p>
            <w:pPr>
              <w:pStyle w:val="Compact"/>
              <w:jc w:val="left"/>
            </w:pPr>
            <w:r>
              <w:t xml:space="preserve">0.20</w:t>
            </w:r>
          </w:p>
        </w:tc>
        <w:tc>
          <w:tcPr/>
          <w:p>
            <w:pPr>
              <w:pStyle w:val="Compact"/>
              <w:jc w:val="left"/>
            </w:pPr>
            <w:r>
              <w:t xml:space="preserve">0.25</w:t>
            </w:r>
          </w:p>
        </w:tc>
        <w:tc>
          <w:tcPr/>
          <w:p>
            <w:pPr>
              <w:pStyle w:val="Compact"/>
              <w:jc w:val="left"/>
            </w:pPr>
            <w:r>
              <w:t xml:space="preserve">0.25</w:t>
            </w:r>
          </w:p>
        </w:tc>
        <w:tc>
          <w:tcPr/>
          <w:p>
            <w:pPr>
              <w:pStyle w:val="Compact"/>
              <w:jc w:val="left"/>
            </w:pPr>
            <w:r>
              <w:t xml:space="preserve">Multi-task coordination; dynamic SA</w:t>
            </w:r>
          </w:p>
        </w:tc>
      </w:tr>
      <w:tr>
        <w:tc>
          <w:tcPr/>
          <w:p>
            <w:pPr>
              <w:pStyle w:val="Compact"/>
              <w:jc w:val="left"/>
            </w:pPr>
            <w:r>
              <w:t xml:space="preserve">14</w:t>
            </w:r>
          </w:p>
        </w:tc>
        <w:tc>
          <w:tcPr/>
          <w:p>
            <w:pPr>
              <w:pStyle w:val="Compact"/>
              <w:jc w:val="left"/>
            </w:pPr>
            <w:r>
              <w:t xml:space="preserve">Autonomous-swarm supervisory</w:t>
            </w:r>
          </w:p>
        </w:tc>
        <w:tc>
          <w:tcPr/>
          <w:p>
            <w:pPr>
              <w:pStyle w:val="Compact"/>
              <w:jc w:val="left"/>
            </w:pPr>
            <w:r>
              <w:t xml:space="preserve">0.30</w:t>
            </w:r>
          </w:p>
        </w:tc>
        <w:tc>
          <w:tcPr/>
          <w:p>
            <w:pPr>
              <w:pStyle w:val="Compact"/>
              <w:jc w:val="left"/>
            </w:pPr>
            <w:r>
              <w:t xml:space="preserve">0.25</w:t>
            </w:r>
          </w:p>
        </w:tc>
        <w:tc>
          <w:tcPr/>
          <w:p>
            <w:pPr>
              <w:pStyle w:val="Compact"/>
              <w:jc w:val="left"/>
            </w:pPr>
            <w:r>
              <w:t xml:space="preserve">0.15</w:t>
            </w:r>
          </w:p>
        </w:tc>
        <w:tc>
          <w:tcPr/>
          <w:p>
            <w:pPr>
              <w:pStyle w:val="Compact"/>
              <w:jc w:val="left"/>
            </w:pPr>
            <w:r>
              <w:t xml:space="preserve">0.30</w:t>
            </w:r>
          </w:p>
        </w:tc>
        <w:tc>
          <w:tcPr/>
          <w:p>
            <w:pPr>
              <w:pStyle w:val="Compact"/>
              <w:jc w:val="left"/>
            </w:pPr>
            <w:r>
              <w:t xml:space="preserve">Exception-handling over sustained supervisory baseline</w:t>
            </w:r>
          </w:p>
        </w:tc>
      </w:tr>
      <w:tr>
        <w:tc>
          <w:tcPr/>
          <w:p>
            <w:pPr>
              <w:pStyle w:val="Compact"/>
              <w:jc w:val="left"/>
            </w:pPr>
            <w:r>
              <w:t xml:space="preserve">15</w:t>
            </w:r>
          </w:p>
        </w:tc>
        <w:tc>
          <w:tcPr/>
          <w:p>
            <w:pPr>
              <w:pStyle w:val="Compact"/>
              <w:jc w:val="left"/>
            </w:pPr>
            <w:r>
              <w:t xml:space="preserve">Contested environment</w:t>
            </w:r>
          </w:p>
        </w:tc>
        <w:tc>
          <w:tcPr/>
          <w:p>
            <w:pPr>
              <w:pStyle w:val="Compact"/>
              <w:jc w:val="left"/>
            </w:pPr>
            <w:r>
              <w:t xml:space="preserve">0.30</w:t>
            </w:r>
          </w:p>
        </w:tc>
        <w:tc>
          <w:tcPr/>
          <w:p>
            <w:pPr>
              <w:pStyle w:val="Compact"/>
              <w:jc w:val="left"/>
            </w:pPr>
            <w:r>
              <w:t xml:space="preserve">0.20</w:t>
            </w:r>
          </w:p>
        </w:tc>
        <w:tc>
          <w:tcPr/>
          <w:p>
            <w:pPr>
              <w:pStyle w:val="Compact"/>
              <w:jc w:val="left"/>
            </w:pPr>
            <w:r>
              <w:t xml:space="preserve">0.25</w:t>
            </w:r>
          </w:p>
        </w:tc>
        <w:tc>
          <w:tcPr/>
          <w:p>
            <w:pPr>
              <w:pStyle w:val="Compact"/>
              <w:jc w:val="left"/>
            </w:pPr>
            <w:r>
              <w:t xml:space="preserve">0.25</w:t>
            </w:r>
          </w:p>
        </w:tc>
        <w:tc>
          <w:tcPr/>
          <w:p>
            <w:pPr>
              <w:pStyle w:val="Compact"/>
              <w:jc w:val="left"/>
            </w:pPr>
            <w:r>
              <w:t xml:space="preserve">Dual-task threat monitoring + mission execution</w:t>
            </w:r>
          </w:p>
        </w:tc>
      </w:tr>
      <w:tr>
        <w:tc>
          <w:tcPr/>
          <w:p>
            <w:pPr>
              <w:pStyle w:val="Compact"/>
              <w:jc w:val="left"/>
            </w:pPr>
            <w:r>
              <w:t xml:space="preserve">16</w:t>
            </w:r>
          </w:p>
        </w:tc>
        <w:tc>
          <w:tcPr/>
          <w:p>
            <w:pPr>
              <w:pStyle w:val="Compact"/>
              <w:jc w:val="left"/>
            </w:pPr>
            <w:r>
              <w:t xml:space="preserve">Ground-robot teleoperation</w:t>
            </w:r>
          </w:p>
        </w:tc>
        <w:tc>
          <w:tcPr/>
          <w:p>
            <w:pPr>
              <w:pStyle w:val="Compact"/>
              <w:jc w:val="left"/>
            </w:pPr>
            <w:r>
              <w:t xml:space="preserve">0.35</w:t>
            </w:r>
          </w:p>
        </w:tc>
        <w:tc>
          <w:tcPr/>
          <w:p>
            <w:pPr>
              <w:pStyle w:val="Compact"/>
              <w:jc w:val="left"/>
            </w:pPr>
            <w:r>
              <w:t xml:space="preserve">0.15</w:t>
            </w:r>
          </w:p>
        </w:tc>
        <w:tc>
          <w:tcPr/>
          <w:p>
            <w:pPr>
              <w:pStyle w:val="Compact"/>
              <w:jc w:val="left"/>
            </w:pPr>
            <w:r>
              <w:t xml:space="preserve">0.20</w:t>
            </w:r>
          </w:p>
        </w:tc>
        <w:tc>
          <w:tcPr/>
          <w:p>
            <w:pPr>
              <w:pStyle w:val="Compact"/>
              <w:jc w:val="left"/>
            </w:pPr>
            <w:r>
              <w:t xml:space="preserve">0.30</w:t>
            </w:r>
          </w:p>
        </w:tc>
        <w:tc>
          <w:tcPr/>
          <w:p>
            <w:pPr>
              <w:pStyle w:val="Compact"/>
              <w:jc w:val="left"/>
            </w:pPr>
            <w:r>
              <w:t xml:space="preserve">Spatial transformation + mental rotation</w:t>
            </w:r>
          </w:p>
        </w:tc>
      </w:tr>
      <w:tr>
        <w:tc>
          <w:tcPr/>
          <w:p>
            <w:pPr>
              <w:pStyle w:val="Compact"/>
              <w:jc w:val="left"/>
            </w:pPr>
            <w:r>
              <w:t xml:space="preserve">17</w:t>
            </w:r>
          </w:p>
        </w:tc>
        <w:tc>
          <w:tcPr/>
          <w:p>
            <w:pPr>
              <w:pStyle w:val="Compact"/>
              <w:jc w:val="left"/>
            </w:pPr>
            <w:r>
              <w:t xml:space="preserve">Subsea / long-latency</w:t>
            </w:r>
          </w:p>
        </w:tc>
        <w:tc>
          <w:tcPr/>
          <w:p>
            <w:pPr>
              <w:pStyle w:val="Compact"/>
              <w:jc w:val="left"/>
            </w:pPr>
            <w:r>
              <w:t xml:space="preserve">0.30</w:t>
            </w:r>
          </w:p>
        </w:tc>
        <w:tc>
          <w:tcPr/>
          <w:p>
            <w:pPr>
              <w:pStyle w:val="Compact"/>
              <w:jc w:val="left"/>
            </w:pPr>
            <w:r>
              <w:t xml:space="preserve">0.20</w:t>
            </w:r>
          </w:p>
        </w:tc>
        <w:tc>
          <w:tcPr/>
          <w:p>
            <w:pPr>
              <w:pStyle w:val="Compact"/>
              <w:jc w:val="left"/>
            </w:pPr>
            <w:r>
              <w:t xml:space="preserve">0.25</w:t>
            </w:r>
          </w:p>
        </w:tc>
        <w:tc>
          <w:tcPr/>
          <w:p>
            <w:pPr>
              <w:pStyle w:val="Compact"/>
              <w:jc w:val="left"/>
            </w:pPr>
            <w:r>
              <w:t xml:space="preserve">0.25</w:t>
            </w:r>
          </w:p>
        </w:tc>
        <w:tc>
          <w:tcPr/>
          <w:p>
            <w:pPr>
              <w:pStyle w:val="Compact"/>
              <w:jc w:val="left"/>
            </w:pPr>
            <w:r>
              <w:t xml:space="preserve">Latency penalty dominates; attention and HRV recovery both load</w:t>
            </w:r>
          </w:p>
        </w:tc>
      </w:tr>
    </w:tbl>
    <w:p>
      <w:pPr>
        <w:pStyle w:val="BodyText"/>
      </w:pPr>
      <w:r>
        <w:t xml:space="preserve">Normalisation check: each row sums to 1.00. For UAS rows, the latency penalty and multi-vehicle penalty are applied additively after the weighted sum.</w:t>
      </w:r>
    </w:p>
    <w:bookmarkEnd w:id="30"/>
    <w:bookmarkEnd w:id="31"/>
    <w:bookmarkStart w:id="32" w:name="task-complexity-modifiers-task_mod"/>
    <w:p>
      <w:pPr>
        <w:pStyle w:val="Heading2"/>
      </w:pPr>
      <w:r>
        <w:t xml:space="preserve">Task-complexity modifiers (Task_mod)</w:t>
      </w:r>
    </w:p>
    <w:p>
      <w:pPr>
        <w:pStyle w:val="FirstParagraph"/>
      </w:pPr>
      <w:r>
        <w:t xml:space="preserve">Applied multiplicatively to SAFTE_eff in the manned-aviation formula. Ranges are operational defaults; local empirical calibration is recommended before field use.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Factor</w:t>
            </w:r>
          </w:p>
        </w:tc>
        <w:tc>
          <w:tcPr/>
          <w:p>
            <w:pPr>
              <w:pStyle w:val="Compact"/>
              <w:jc w:val="left"/>
            </w:pPr>
            <w:r>
              <w:t xml:space="preserve">Range</w:t>
            </w:r>
          </w:p>
        </w:tc>
        <w:tc>
          <w:tcPr/>
          <w:p>
            <w:pPr>
              <w:pStyle w:val="Compact"/>
              <w:jc w:val="left"/>
            </w:pPr>
            <w:r>
              <w:t xml:space="preserve">Application</w:t>
            </w:r>
          </w:p>
        </w:tc>
      </w:tr>
      <w:tr>
        <w:tc>
          <w:tcPr/>
          <w:p>
            <w:pPr>
              <w:pStyle w:val="Compact"/>
              <w:jc w:val="left"/>
            </w:pPr>
            <w:r>
              <w:t xml:space="preserve">IMC approach category</w:t>
            </w:r>
          </w:p>
        </w:tc>
        <w:tc>
          <w:tcPr/>
          <w:p>
            <w:pPr>
              <w:pStyle w:val="Compact"/>
              <w:jc w:val="left"/>
            </w:pPr>
            <w:r>
              <w:t xml:space="preserve">0.95 (CAT I) / 0.90 (CAT II) / 0.85 (CAT III)</w:t>
            </w:r>
          </w:p>
        </w:tc>
        <w:tc>
          <w:tcPr/>
          <w:p>
            <w:pPr>
              <w:pStyle w:val="Compact"/>
              <w:jc w:val="left"/>
            </w:pPr>
            <w:r>
              <w:t xml:space="preserve">Lower minima imply higher instrument demand and smaller safety margins</w:t>
            </w:r>
          </w:p>
        </w:tc>
      </w:tr>
      <w:tr>
        <w:tc>
          <w:tcPr/>
          <w:p>
            <w:pPr>
              <w:pStyle w:val="Compact"/>
              <w:jc w:val="left"/>
            </w:pPr>
            <w:r>
              <w:t xml:space="preserve">NVD terrain type</w:t>
            </w:r>
          </w:p>
        </w:tc>
        <w:tc>
          <w:tcPr/>
          <w:p>
            <w:pPr>
              <w:pStyle w:val="Compact"/>
              <w:jc w:val="left"/>
            </w:pPr>
            <w:r>
              <w:t xml:space="preserve">0.90 (complex mountainous) to 1.00 (flat)</w:t>
            </w:r>
          </w:p>
        </w:tc>
        <w:tc>
          <w:tcPr/>
          <w:p>
            <w:pPr>
              <w:pStyle w:val="Compact"/>
              <w:jc w:val="left"/>
            </w:pPr>
            <w:r>
              <w:t xml:space="preserve">Terrain interpretation load</w:t>
            </w:r>
          </w:p>
        </w:tc>
      </w:tr>
      <w:tr>
        <w:tc>
          <w:tcPr/>
          <w:p>
            <w:pPr>
              <w:pStyle w:val="Compact"/>
              <w:jc w:val="left"/>
            </w:pPr>
            <w:r>
              <w:t xml:space="preserve">ATC traffic density</w:t>
            </w:r>
          </w:p>
        </w:tc>
        <w:tc>
          <w:tcPr/>
          <w:p>
            <w:pPr>
              <w:pStyle w:val="Compact"/>
              <w:jc w:val="left"/>
            </w:pPr>
            <w:r>
              <w:t xml:space="preserve">0.85 (peak) to 1.00 (low)</w:t>
            </w:r>
          </w:p>
        </w:tc>
        <w:tc>
          <w:tcPr/>
          <w:p>
            <w:pPr>
              <w:pStyle w:val="Compact"/>
              <w:jc w:val="left"/>
            </w:pPr>
            <w:r>
              <w:t xml:space="preserve">Communication tempo and aircraft-tracking count</w:t>
            </w:r>
          </w:p>
        </w:tc>
      </w:tr>
      <w:tr>
        <w:tc>
          <w:tcPr/>
          <w:p>
            <w:pPr>
              <w:pStyle w:val="Compact"/>
              <w:jc w:val="left"/>
            </w:pPr>
            <w:r>
              <w:t xml:space="preserve">Emergency severity</w:t>
            </w:r>
          </w:p>
        </w:tc>
        <w:tc>
          <w:tcPr/>
          <w:p>
            <w:pPr>
              <w:pStyle w:val="Compact"/>
              <w:jc w:val="left"/>
            </w:pPr>
            <w:r>
              <w:t xml:space="preserve">0.70 (critical multi-system) to 0.95 (abnormal single-system)</w:t>
            </w:r>
          </w:p>
        </w:tc>
        <w:tc>
          <w:tcPr/>
          <w:p>
            <w:pPr>
              <w:pStyle w:val="Compact"/>
              <w:jc w:val="left"/>
            </w:pPr>
            <w:r>
              <w:t xml:space="preserve">Combined time pressure and consequence</w:t>
            </w:r>
          </w:p>
        </w:tc>
      </w:tr>
      <w:tr>
        <w:tc>
          <w:tcPr/>
          <w:p>
            <w:pPr>
              <w:pStyle w:val="Compact"/>
              <w:jc w:val="left"/>
            </w:pPr>
            <w:r>
              <w:t xml:space="preserve">Platform familiarity</w:t>
            </w:r>
          </w:p>
        </w:tc>
        <w:tc>
          <w:tcPr/>
          <w:p>
            <w:pPr>
              <w:pStyle w:val="Compact"/>
              <w:jc w:val="left"/>
            </w:pPr>
            <w:r>
              <w:t xml:space="preserve">0.80 (novel) to 1.00 (experienced)</w:t>
            </w:r>
          </w:p>
        </w:tc>
        <w:tc>
          <w:tcPr/>
          <w:p>
            <w:pPr>
              <w:pStyle w:val="Compact"/>
              <w:jc w:val="left"/>
            </w:pPr>
            <w:r>
              <w:t xml:space="preserve">Learning-curve effect per Casner 2014</w:t>
            </w:r>
          </w:p>
        </w:tc>
      </w:tr>
      <w:tr>
        <w:tc>
          <w:tcPr/>
          <w:p>
            <w:pPr>
              <w:pStyle w:val="Compact"/>
              <w:jc w:val="left"/>
            </w:pPr>
            <w:r>
              <w:t xml:space="preserve">Time pressure</w:t>
            </w:r>
          </w:p>
        </w:tc>
        <w:tc>
          <w:tcPr/>
          <w:p>
            <w:pPr>
              <w:pStyle w:val="Compact"/>
              <w:jc w:val="left"/>
            </w:pPr>
            <w:r>
              <w:t xml:space="preserve">0.85 (compressed) to 1.00 (normal)</w:t>
            </w:r>
          </w:p>
        </w:tc>
        <w:tc>
          <w:tcPr/>
          <w:p>
            <w:pPr>
              <w:pStyle w:val="Compact"/>
              <w:jc w:val="left"/>
            </w:pPr>
            <w:r>
              <w:t xml:space="preserve">Decision-latency constraint</w:t>
            </w:r>
          </w:p>
        </w:tc>
      </w:tr>
    </w:tbl>
    <w:p>
      <w:pPr>
        <w:pStyle w:val="BodyText"/>
      </w:pPr>
      <w:r>
        <w:t xml:space="preserve">Compound modifiers multiply:</w:t>
      </w:r>
      <w:r>
        <w:t xml:space="preserve"> </w:t>
      </w:r>
      <w:r>
        <w:rPr>
          <w:rStyle w:val="VerbatimChar"/>
        </w:rPr>
        <w:t xml:space="preserve">Task_mod = ∏ factor_i</w:t>
      </w:r>
      <w:r>
        <w:t xml:space="preserve"> </w:t>
      </w:r>
      <w:r>
        <w:t xml:space="preserve">bounded to</w:t>
      </w:r>
      <w:r>
        <w:t xml:space="preserve"> </w:t>
      </w:r>
      <w:r>
        <w:rPr>
          <w:rStyle w:val="VerbatimChar"/>
        </w:rPr>
        <w:t xml:space="preserve">[0.50, 1.00]</w:t>
      </w:r>
      <w:r>
        <w:t xml:space="preserve">.</w:t>
      </w:r>
    </w:p>
    <w:bookmarkEnd w:id="32"/>
    <w:bookmarkStart w:id="33" w:name="stress-penalty"/>
    <w:p>
      <w:pPr>
        <w:pStyle w:val="Heading2"/>
      </w:pPr>
      <w:r>
        <w:t xml:space="preserve">Stress penalty</w:t>
      </w:r>
    </w:p>
    <w:p>
      <w:pPr>
        <w:pStyle w:val="FirstParagraph"/>
      </w:pPr>
      <w:r>
        <w:rPr>
          <w:rStyle w:val="VerbatimChar"/>
        </w:rPr>
        <w:t xml:space="preserve">Stress_penalty = max(0, stress_index − 150) · 0.15</w:t>
      </w:r>
    </w:p>
    <w:p>
      <w:pPr>
        <w:pStyle w:val="BodyText"/>
      </w:pPr>
      <w:r>
        <w:t xml:space="preserve">Applied across all seventeen task categories. The 150 threshold follows operational interpretations of the Baevsky stress index reported by Shaffer &amp; Ginsberg 2017 and operational military reviews. Penalty coefficient</w:t>
      </w:r>
      <w:r>
        <w:t xml:space="preserve"> </w:t>
      </w:r>
      <w:r>
        <w:rPr>
          <w:rStyle w:val="VerbatimChar"/>
        </w:rPr>
        <w:t xml:space="preserve">0.15</w:t>
      </w:r>
      <w:r>
        <w:t xml:space="preserve"> </w:t>
      </w:r>
      <w:r>
        <w:t xml:space="preserve">chosen so that a stress_index of 300 (high acute load) yields a 22.5-point deduction, consistent with the readiness-category band widths in Table 1.</w:t>
      </w:r>
    </w:p>
    <w:bookmarkEnd w:id="33"/>
    <w:bookmarkStart w:id="34" w:name="X373ebcd38fb6b3d29420df091520950351b2344"/>
    <w:p>
      <w:pPr>
        <w:pStyle w:val="Heading2"/>
      </w:pPr>
      <w:r>
        <w:t xml:space="preserve">Learning-curve modifier (new-platform testing only)</w:t>
      </w:r>
    </w:p>
    <w:p>
      <w:pPr>
        <w:pStyle w:val="FirstParagraph"/>
      </w:pPr>
      <w:r>
        <w:t xml:space="preserve">Applied to</w:t>
      </w:r>
      <w:r>
        <w:t xml:space="preserve"> </w:t>
      </w:r>
      <w:r>
        <w:rPr>
          <w:rStyle w:val="VerbatimChar"/>
        </w:rPr>
        <w:t xml:space="preserve">OPI_task</w:t>
      </w:r>
      <w:r>
        <w:t xml:space="preserve"> </w:t>
      </w:r>
      <w:r>
        <w:t xml:space="preserve">after the weighted-sum step for category 10 only: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Experience level</w:t>
            </w:r>
          </w:p>
        </w:tc>
        <w:tc>
          <w:tcPr/>
          <w:p>
            <w:pPr>
              <w:pStyle w:val="Compact"/>
              <w:jc w:val="left"/>
            </w:pPr>
            <w:r>
              <w:t xml:space="preserve">OPI adjustment</w:t>
            </w:r>
          </w:p>
        </w:tc>
        <w:tc>
          <w:tcPr/>
          <w:p>
            <w:pPr>
              <w:pStyle w:val="Compact"/>
              <w:jc w:val="left"/>
            </w:pPr>
            <w:r>
              <w:t xml:space="preserve">Oversight level</w:t>
            </w:r>
          </w:p>
        </w:tc>
      </w:tr>
      <w:tr>
        <w:tc>
          <w:tcPr/>
          <w:p>
            <w:pPr>
              <w:pStyle w:val="Compact"/>
              <w:jc w:val="left"/>
            </w:pPr>
            <w:r>
              <w:t xml:space="preserve">Initial training</w:t>
            </w:r>
          </w:p>
        </w:tc>
        <w:tc>
          <w:tcPr/>
          <w:p>
            <w:pPr>
              <w:pStyle w:val="Compact"/>
              <w:jc w:val="left"/>
            </w:pPr>
            <w:r>
              <w:t xml:space="preserve">− 20</w:t>
            </w:r>
          </w:p>
        </w:tc>
        <w:tc>
          <w:tcPr/>
          <w:p>
            <w:pPr>
              <w:pStyle w:val="Compact"/>
              <w:jc w:val="left"/>
            </w:pPr>
            <w:r>
              <w:t xml:space="preserve">Increased supervision</w:t>
            </w:r>
          </w:p>
        </w:tc>
      </w:tr>
      <w:tr>
        <w:tc>
          <w:tcPr/>
          <w:p>
            <w:pPr>
              <w:pStyle w:val="Compact"/>
              <w:jc w:val="left"/>
            </w:pPr>
            <w:r>
              <w:t xml:space="preserve">Basic proficiency</w:t>
            </w:r>
          </w:p>
        </w:tc>
        <w:tc>
          <w:tcPr/>
          <w:p>
            <w:pPr>
              <w:pStyle w:val="Compact"/>
              <w:jc w:val="left"/>
            </w:pPr>
            <w:r>
              <w:t xml:space="preserve">− 10</w:t>
            </w:r>
          </w:p>
        </w:tc>
        <w:tc>
          <w:tcPr/>
          <w:p>
            <w:pPr>
              <w:pStyle w:val="Compact"/>
              <w:jc w:val="left"/>
            </w:pPr>
            <w:r>
              <w:t xml:space="preserve">Standard oversight</w:t>
            </w:r>
          </w:p>
        </w:tc>
      </w:tr>
      <w:tr>
        <w:tc>
          <w:tcPr/>
          <w:p>
            <w:pPr>
              <w:pStyle w:val="Compact"/>
              <w:jc w:val="left"/>
            </w:pPr>
            <w:r>
              <w:t xml:space="preserve">Mission ready</w:t>
            </w:r>
          </w:p>
        </w:tc>
        <w:tc>
          <w:tcPr/>
          <w:p>
            <w:pPr>
              <w:pStyle w:val="Compact"/>
              <w:jc w:val="left"/>
            </w:pPr>
            <w:r>
              <w:t xml:space="preserve">0 (baseline)</w:t>
            </w:r>
          </w:p>
        </w:tc>
        <w:tc>
          <w:tcPr/>
          <w:p>
            <w:pPr>
              <w:pStyle w:val="Compact"/>
              <w:jc w:val="left"/>
            </w:pPr>
            <w:r>
              <w:t xml:space="preserve">Normal operations</w:t>
            </w:r>
          </w:p>
        </w:tc>
      </w:tr>
      <w:tr>
        <w:tc>
          <w:tcPr/>
          <w:p>
            <w:pPr>
              <w:pStyle w:val="Compact"/>
              <w:jc w:val="left"/>
            </w:pPr>
            <w:r>
              <w:t xml:space="preserve">Instructor qualified</w:t>
            </w:r>
          </w:p>
        </w:tc>
        <w:tc>
          <w:tcPr/>
          <w:p>
            <w:pPr>
              <w:pStyle w:val="Compact"/>
              <w:jc w:val="left"/>
            </w:pPr>
            <w:r>
              <w:t xml:space="preserve">+ 5</w:t>
            </w:r>
          </w:p>
        </w:tc>
        <w:tc>
          <w:tcPr/>
          <w:p>
            <w:pPr>
              <w:pStyle w:val="Compact"/>
              <w:jc w:val="left"/>
            </w:pPr>
            <w:r>
              <w:t xml:space="preserve">Reduced supervision</w:t>
            </w:r>
          </w:p>
        </w:tc>
      </w:tr>
    </w:tbl>
    <w:p>
      <w:pPr>
        <w:pStyle w:val="BodyText"/>
      </w:pPr>
      <w:r>
        <w:t xml:space="preserve">Bounded such that the post-adjustment OPI remains in</w:t>
      </w:r>
      <w:r>
        <w:t xml:space="preserve"> </w:t>
      </w:r>
      <w:r>
        <w:rPr>
          <w:rStyle w:val="VerbatimChar"/>
        </w:rPr>
        <w:t xml:space="preserve">[0, 100]</w:t>
      </w:r>
      <w:r>
        <w:t xml:space="preserve">.</w:t>
      </w:r>
    </w:p>
    <w:bookmarkEnd w:id="34"/>
    <w:bookmarkStart w:id="35" w:name="X826db7bbf89c5eb349c13039546a813018d2b1c"/>
    <w:p>
      <w:pPr>
        <w:pStyle w:val="Heading2"/>
      </w:pPr>
      <w:r>
        <w:t xml:space="preserve">Illustrative calculation (IMC CAT II approach)</w:t>
      </w:r>
    </w:p>
    <w:p>
      <w:pPr>
        <w:pStyle w:val="FirstParagraph"/>
      </w:pPr>
      <w:r>
        <w:t xml:space="preserve">Inputs:</w:t>
      </w:r>
    </w:p>
    <w:p>
      <w:pPr>
        <w:numPr>
          <w:ilvl w:val="0"/>
          <w:numId w:val="1004"/>
        </w:numPr>
        <w:pStyle w:val="Compact"/>
      </w:pPr>
      <w:r>
        <w:t xml:space="preserve">SAFTE_eff = 82</w:t>
      </w:r>
    </w:p>
    <w:p>
      <w:pPr>
        <w:numPr>
          <w:ilvl w:val="0"/>
          <w:numId w:val="1004"/>
        </w:numPr>
        <w:pStyle w:val="Compact"/>
      </w:pPr>
      <w:r>
        <w:t xml:space="preserve">HRV_recovery = 65</w:t>
      </w:r>
    </w:p>
    <w:p>
      <w:pPr>
        <w:numPr>
          <w:ilvl w:val="0"/>
          <w:numId w:val="1004"/>
        </w:numPr>
        <w:pStyle w:val="Compact"/>
      </w:pPr>
      <w:r>
        <w:t xml:space="preserve">Autonomic_reserve = 52</w:t>
      </w:r>
    </w:p>
    <w:p>
      <w:pPr>
        <w:numPr>
          <w:ilvl w:val="0"/>
          <w:numId w:val="1004"/>
        </w:numPr>
        <w:pStyle w:val="Compact"/>
      </w:pPr>
      <w:r>
        <w:t xml:space="preserve">Stress index = 145 (below threshold)</w:t>
      </w:r>
    </w:p>
    <w:p>
      <w:pPr>
        <w:numPr>
          <w:ilvl w:val="0"/>
          <w:numId w:val="1004"/>
        </w:numPr>
        <w:pStyle w:val="Compact"/>
      </w:pPr>
      <w:r>
        <w:t xml:space="preserve">Task = CAT II ILS approach (Task_mod = 0.90)</w:t>
      </w:r>
    </w:p>
    <w:p>
      <w:pPr>
        <w:pStyle w:val="FirstParagraph"/>
      </w:pPr>
      <w:r>
        <w:t xml:space="preserve">Computation:</w:t>
      </w:r>
    </w:p>
    <w:p>
      <w:pPr>
        <w:pStyle w:val="SourceCode"/>
      </w:pPr>
      <w:r>
        <w:rPr>
          <w:rStyle w:val="VerbatimChar"/>
        </w:rPr>
        <w:t xml:space="preserve">OPI_IMC = 0.55 · 82 · 0.90 + 0.25 · 65 + 0.20 · 52</w:t>
      </w:r>
      <w:r>
        <w:br/>
      </w:r>
      <w:r>
        <w:rPr>
          <w:rStyle w:val="VerbatimChar"/>
        </w:rPr>
        <w:t xml:space="preserve">        = 40.59 + 16.25 + 10.40</w:t>
      </w:r>
      <w:r>
        <w:br/>
      </w:r>
      <w:r>
        <w:rPr>
          <w:rStyle w:val="VerbatimChar"/>
        </w:rPr>
        <w:t xml:space="preserve">        = 67.24</w:t>
      </w:r>
      <w:r>
        <w:br/>
      </w:r>
      <w:r>
        <w:br/>
      </w:r>
      <w:r>
        <w:rPr>
          <w:rStyle w:val="VerbatimChar"/>
        </w:rPr>
        <w:t xml:space="preserve">Stress_penalty = max(0, 145 − 150) · 0.15 = 0</w:t>
      </w:r>
      <w:r>
        <w:br/>
      </w:r>
      <w:r>
        <w:rPr>
          <w:rStyle w:val="VerbatimChar"/>
        </w:rPr>
        <w:t xml:space="preserve">Task_complexity_penalty = 5 · (1 − 0.90) = 0.50</w:t>
      </w:r>
      <w:r>
        <w:br/>
      </w:r>
      <w:r>
        <w:br/>
      </w:r>
      <w:r>
        <w:rPr>
          <w:rStyle w:val="VerbatimChar"/>
        </w:rPr>
        <w:t xml:space="preserve">OPI_IMC_final = 67.24 − 0 − 0.50 = 66.74</w:t>
      </w:r>
    </w:p>
    <w:p>
      <w:pPr>
        <w:pStyle w:val="FirstParagraph"/>
      </w:pPr>
      <w:r>
        <w:t xml:space="preserve">Readiness category:</w:t>
      </w:r>
      <w:r>
        <w:t xml:space="preserve"> </w:t>
      </w:r>
      <w:r>
        <w:rPr>
          <w:bCs/>
          <w:b/>
        </w:rPr>
        <w:t xml:space="preserve">CAUTION</w:t>
      </w:r>
      <w:r>
        <w:t xml:space="preserve"> </w:t>
      </w:r>
      <w:r>
        <w:t xml:space="preserve">(55-69) —</w:t>
      </w:r>
      <w:r>
        <w:t xml:space="preserve"> </w:t>
      </w:r>
      <w:r>
        <w:t xml:space="preserve">“</w:t>
      </w:r>
      <w:r>
        <w:t xml:space="preserve">proceed with mission modification or enhanced monitoring</w:t>
      </w:r>
      <w:r>
        <w:t xml:space="preserve">”</w:t>
      </w:r>
      <w:r>
        <w:t xml:space="preserve">.</w:t>
      </w:r>
    </w:p>
    <w:bookmarkEnd w:id="35"/>
    <w:bookmarkStart w:id="36" w:name="implementation-anchors"/>
    <w:p>
      <w:pPr>
        <w:pStyle w:val="Heading2"/>
      </w:pPr>
      <w:r>
        <w:t xml:space="preserve">Implementation anchors</w:t>
      </w:r>
    </w:p>
    <w:p>
      <w:pPr>
        <w:numPr>
          <w:ilvl w:val="0"/>
          <w:numId w:val="1005"/>
        </w:numPr>
        <w:pStyle w:val="Compact"/>
      </w:pPr>
      <w:r>
        <w:t xml:space="preserve">Canonical Python implementation:</w:t>
      </w:r>
      <w:r>
        <w:t xml:space="preserve"> </w:t>
      </w:r>
      <w:r>
        <w:rPr>
          <w:rStyle w:val="VerbatimChar"/>
        </w:rPr>
        <w:t xml:space="preserve">app/scheduling_core.py</w:t>
      </w:r>
      <w:r>
        <w:t xml:space="preserve">,</w:t>
      </w:r>
      <w:r>
        <w:t xml:space="preserve"> </w:t>
      </w:r>
      <w:r>
        <w:rPr>
          <w:rStyle w:val="VerbatimChar"/>
        </w:rPr>
        <w:t xml:space="preserve">app/frms.py</w:t>
      </w:r>
      <w:r>
        <w:t xml:space="preserve">,</w:t>
      </w:r>
      <w:r>
        <w:t xml:space="preserve"> </w:t>
      </w:r>
      <w:r>
        <w:rPr>
          <w:rStyle w:val="VerbatimChar"/>
        </w:rPr>
        <w:t xml:space="preserve">app/frms_v2.py</w:t>
      </w:r>
    </w:p>
    <w:p>
      <w:pPr>
        <w:numPr>
          <w:ilvl w:val="0"/>
          <w:numId w:val="1005"/>
        </w:numPr>
        <w:pStyle w:val="Compact"/>
      </w:pPr>
      <w:r>
        <w:t xml:space="preserve">SAFTE component:</w:t>
      </w:r>
      <w:r>
        <w:t xml:space="preserve"> </w:t>
      </w:r>
      <w:r>
        <w:rPr>
          <w:rStyle w:val="VerbatimChar"/>
        </w:rPr>
        <w:t xml:space="preserve">app/fatigue_calculator/safte_model.py</w:t>
      </w:r>
    </w:p>
    <w:p>
      <w:pPr>
        <w:numPr>
          <w:ilvl w:val="0"/>
          <w:numId w:val="1005"/>
        </w:numPr>
        <w:pStyle w:val="Compact"/>
      </w:pPr>
      <w:r>
        <w:t xml:space="preserve">HRV components feeding HRV_recovery, Autonomic_reserve, Attention_capacity:</w:t>
      </w:r>
      <w:r>
        <w:t xml:space="preserve"> </w:t>
      </w:r>
      <w:r>
        <w:rPr>
          <w:rStyle w:val="VerbatimChar"/>
        </w:rPr>
        <w:t xml:space="preserve">app/hrv_core.py</w:t>
      </w:r>
    </w:p>
    <w:p>
      <w:pPr>
        <w:numPr>
          <w:ilvl w:val="0"/>
          <w:numId w:val="1005"/>
        </w:numPr>
        <w:pStyle w:val="Compact"/>
      </w:pPr>
      <w:r>
        <w:t xml:space="preserve">TypeScript client mirror (SAFTE only):</w:t>
      </w:r>
      <w:r>
        <w:t xml:space="preserve"> </w:t>
      </w:r>
      <w:r>
        <w:rPr>
          <w:rStyle w:val="VerbatimChar"/>
        </w:rPr>
        <w:t xml:space="preserve">frontend/src/lib/safte-model.ts</w:t>
      </w:r>
    </w:p>
    <w:bookmarkEnd w:id="36"/>
    <w:bookmarkStart w:id="37" w:name="cross-reference-1"/>
    <w:p>
      <w:pPr>
        <w:pStyle w:val="Heading2"/>
      </w:pPr>
      <w:r>
        <w:t xml:space="preserve">Cross-reference</w:t>
      </w:r>
    </w:p>
    <w:p>
      <w:pPr>
        <w:numPr>
          <w:ilvl w:val="0"/>
          <w:numId w:val="1006"/>
        </w:numPr>
        <w:pStyle w:val="Compact"/>
      </w:pPr>
      <w:r>
        <w:t xml:space="preserve">Task definitions and expected HRV signatures:</w:t>
      </w:r>
      <w:r>
        <w:t xml:space="preserve"> </w:t>
      </w:r>
      <w:r>
        <w:rPr>
          <w:rStyle w:val="VerbatimChar"/>
        </w:rPr>
        <w:t xml:space="preserve">manuscript/tables/opi_task_taxonomy.md</w:t>
      </w:r>
    </w:p>
    <w:p>
      <w:pPr>
        <w:numPr>
          <w:ilvl w:val="0"/>
          <w:numId w:val="1006"/>
        </w:numPr>
        <w:pStyle w:val="Compact"/>
      </w:pPr>
      <w:r>
        <w:t xml:space="preserve">Vigilance-decrement and latency-penalty model parameters:</w:t>
      </w:r>
      <w:r>
        <w:t xml:space="preserve"> </w:t>
      </w:r>
      <w:r>
        <w:rPr>
          <w:rStyle w:val="VerbatimChar"/>
        </w:rPr>
        <w:t xml:space="preserve">manuscript/tables/opi_vigilance_latency_models.md</w:t>
      </w:r>
    </w:p>
    <w:p>
      <w:pPr>
        <w:numPr>
          <w:ilvl w:val="0"/>
          <w:numId w:val="1006"/>
        </w:numPr>
        <w:pStyle w:val="Compact"/>
      </w:pPr>
      <w:r>
        <w:t xml:space="preserve">Full derivation and citations:</w:t>
      </w:r>
      <w:r>
        <w:t xml:space="preserve"> </w:t>
      </w:r>
      <w:r>
        <w:rPr>
          <w:rStyle w:val="VerbatimChar"/>
        </w:rPr>
        <w:t xml:space="preserve">analysis/operational_performance_indicators_research.md</w:t>
      </w:r>
      <w:r>
        <w:t xml:space="preserve"> </w:t>
      </w:r>
      <w:r>
        <w:t xml:space="preserve"># Table 3 — Vigilance-Decrement and Control-Latency Models (UAS / Teleoperation)</w:t>
      </w:r>
    </w:p>
    <w:p>
      <w:pPr>
        <w:pStyle w:val="FirstParagraph"/>
      </w:pPr>
      <w:r>
        <w:t xml:space="preserve">Author: Dr Diego Malpica MD</w:t>
      </w:r>
    </w:p>
    <w:p>
      <w:pPr>
        <w:pStyle w:val="BodyText"/>
      </w:pPr>
      <w:r>
        <w:t xml:space="preserve">This table specifies the two UAS-specific OPI components that have no direct analogue in manned aviation: the vigilance-decrement model for sustained monitoring and the control-latency penalty for teleoperated systems. Both models feed into</w:t>
      </w:r>
      <w:r>
        <w:t xml:space="preserve"> </w:t>
      </w:r>
      <w:r>
        <w:rPr>
          <w:rStyle w:val="VerbatimChar"/>
        </w:rPr>
        <w:t xml:space="preserve">OPI_UAS</w:t>
      </w:r>
      <w:r>
        <w:t xml:space="preserve"> </w:t>
      </w:r>
      <w:r>
        <w:t xml:space="preserve">(Table 2) and are theory-derived from the cited HF literature. Empirical calibration against field operator performance is future work.</w:t>
      </w:r>
    </w:p>
    <w:p>
      <w:r>
        <w:pict>
          <v:rect style="width:0;height:1.5pt" o:hralign="center" o:hrstd="t" o:hr="t"/>
        </w:pict>
      </w:r>
    </w:p>
    <w:bookmarkEnd w:id="37"/>
    <w:bookmarkStart w:id="41" w:name="vigilance-decrement-model"/>
    <w:p>
      <w:pPr>
        <w:pStyle w:val="Heading2"/>
      </w:pPr>
      <w:r>
        <w:t xml:space="preserve">1. Vigilance-decrement model</w:t>
      </w:r>
    </w:p>
    <w:bookmarkStart w:id="38" w:name="functional-form"/>
    <w:p>
      <w:pPr>
        <w:pStyle w:val="Heading3"/>
      </w:pPr>
      <w:r>
        <w:t xml:space="preserve">Functional form</w:t>
      </w:r>
    </w:p>
    <w:p>
      <w:pPr>
        <w:pStyle w:val="FirstParagraph"/>
      </w:pPr>
      <w:r>
        <w:t xml:space="preserve">Vigilance capacity is modelled as an exponential decay toward an asymptotic minimum over time-on-task (Warm, Parasuraman &amp; Matthews, 2008):</w:t>
      </w:r>
    </w:p>
    <w:p>
      <w:pPr>
        <w:pStyle w:val="SourceCode"/>
      </w:pPr>
      <w:r>
        <w:rPr>
          <w:rStyle w:val="VerbatimChar"/>
        </w:rPr>
        <w:t xml:space="preserve">Vigilance_capacity(t) = (V0 − Vmin) · e^(−λ · t) + Vmin</w:t>
      </w:r>
    </w:p>
    <w:p>
      <w:pPr>
        <w:pStyle w:val="FirstParagraph"/>
      </w:pPr>
      <w:r>
        <w:t xml:space="preserve">where</w:t>
      </w:r>
      <w:r>
        <w:t xml:space="preserve"> </w:t>
      </w:r>
      <w:r>
        <w:t xml:space="preserve">-</w:t>
      </w:r>
      <w:r>
        <w:t xml:space="preserve"> </w:t>
      </w:r>
      <w:r>
        <w:rPr>
          <w:rStyle w:val="VerbatimChar"/>
        </w:rPr>
        <w:t xml:space="preserve">V0</w:t>
      </w:r>
      <w:r>
        <w:t xml:space="preserve"> </w:t>
      </w:r>
      <w:r>
        <w:t xml:space="preserve">— initial vigilance capacity at time zero, typically 95-100 (index units)</w:t>
      </w:r>
      <w:r>
        <w:t xml:space="preserve"> </w:t>
      </w:r>
      <w:r>
        <w:t xml:space="preserve">-</w:t>
      </w:r>
      <w:r>
        <w:t xml:space="preserve"> </w:t>
      </w:r>
      <w:r>
        <w:rPr>
          <w:rStyle w:val="VerbatimChar"/>
        </w:rPr>
        <w:t xml:space="preserve">λ</w:t>
      </w:r>
      <w:r>
        <w:t xml:space="preserve"> </w:t>
      </w:r>
      <w:r>
        <w:t xml:space="preserve">— task-specific decay constant in per-hour units</w:t>
      </w:r>
      <w:r>
        <w:t xml:space="preserve"> </w:t>
      </w:r>
      <w:r>
        <w:t xml:space="preserve">-</w:t>
      </w:r>
      <w:r>
        <w:t xml:space="preserve"> </w:t>
      </w:r>
      <w:r>
        <w:rPr>
          <w:rStyle w:val="VerbatimChar"/>
        </w:rPr>
        <w:t xml:space="preserve">t</w:t>
      </w:r>
      <w:r>
        <w:t xml:space="preserve"> </w:t>
      </w:r>
      <w:r>
        <w:t xml:space="preserve">— time-on-task in hours</w:t>
      </w:r>
      <w:r>
        <w:t xml:space="preserve"> </w:t>
      </w:r>
      <w:r>
        <w:t xml:space="preserve">-</w:t>
      </w:r>
      <w:r>
        <w:t xml:space="preserve"> </w:t>
      </w:r>
      <w:r>
        <w:rPr>
          <w:rStyle w:val="VerbatimChar"/>
        </w:rPr>
        <w:t xml:space="preserve">Vmin</w:t>
      </w:r>
      <w:r>
        <w:t xml:space="preserve"> </w:t>
      </w:r>
      <w:r>
        <w:t xml:space="preserve">— asymptotic minimum, typically 60-70 (index units)</w:t>
      </w:r>
    </w:p>
    <w:p>
      <w:pPr>
        <w:pStyle w:val="BodyText"/>
      </w:pPr>
      <w:r>
        <w:t xml:space="preserve">For OPI use,</w:t>
      </w:r>
      <w:r>
        <w:t xml:space="preserve"> </w:t>
      </w:r>
      <w:r>
        <w:rPr>
          <w:rStyle w:val="VerbatimChar"/>
        </w:rPr>
        <w:t xml:space="preserve">Vigilance_capacity(t)</w:t>
      </w:r>
      <w:r>
        <w:t xml:space="preserve"> </w:t>
      </w:r>
      <w:r>
        <w:t xml:space="preserve">is normalised to the</w:t>
      </w:r>
      <w:r>
        <w:t xml:space="preserve"> </w:t>
      </w:r>
      <w:r>
        <w:rPr>
          <w:rStyle w:val="VerbatimChar"/>
        </w:rPr>
        <w:t xml:space="preserve">[0, 100]</w:t>
      </w:r>
      <w:r>
        <w:t xml:space="preserve"> </w:t>
      </w:r>
      <w:r>
        <w:t xml:space="preserve">scale and substituted for the</w:t>
      </w:r>
      <w:r>
        <w:t xml:space="preserve"> </w:t>
      </w:r>
      <w:r>
        <w:rPr>
          <w:rStyle w:val="VerbatimChar"/>
        </w:rPr>
        <w:t xml:space="preserve">Vigilance_adj</w:t>
      </w:r>
      <w:r>
        <w:t xml:space="preserve"> </w:t>
      </w:r>
      <w:r>
        <w:t xml:space="preserve">term in the UAS formula.</w:t>
      </w:r>
    </w:p>
    <w:bookmarkEnd w:id="38"/>
    <w:bookmarkStart w:id="39" w:name="task-specific-decay-constants"/>
    <w:p>
      <w:pPr>
        <w:pStyle w:val="Heading3"/>
      </w:pPr>
      <w:r>
        <w:t xml:space="preserve">Task-specific decay constants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UAS task type</w:t>
            </w:r>
          </w:p>
        </w:tc>
        <w:tc>
          <w:tcPr/>
          <w:p>
            <w:pPr>
              <w:pStyle w:val="Compact"/>
              <w:jc w:val="left"/>
            </w:pPr>
            <w:r>
              <w:t xml:space="preserve">λ (per hour)</w:t>
            </w:r>
          </w:p>
        </w:tc>
        <w:tc>
          <w:tcPr/>
          <w:p>
            <w:pPr>
              <w:pStyle w:val="Compact"/>
              <w:jc w:val="left"/>
            </w:pPr>
            <w:r>
              <w:t xml:space="preserve">V0</w:t>
            </w:r>
          </w:p>
        </w:tc>
        <w:tc>
          <w:tcPr/>
          <w:p>
            <w:pPr>
              <w:pStyle w:val="Compact"/>
              <w:jc w:val="left"/>
            </w:pPr>
            <w:r>
              <w:t xml:space="preserve">Vmin</w:t>
            </w:r>
          </w:p>
        </w:tc>
        <w:tc>
          <w:tcPr/>
          <w:p>
            <w:pPr>
              <w:pStyle w:val="Compact"/>
              <w:jc w:val="left"/>
            </w:pPr>
            <w:r>
              <w:t xml:space="preserve">Recommended maximum sortie duration</w:t>
            </w:r>
          </w:p>
        </w:tc>
      </w:tr>
      <w:tr>
        <w:tc>
          <w:tcPr/>
          <w:p>
            <w:pPr>
              <w:pStyle w:val="Compact"/>
              <w:jc w:val="left"/>
            </w:pPr>
            <w:r>
              <w:t xml:space="preserve">High-event ISR</w:t>
            </w:r>
          </w:p>
        </w:tc>
        <w:tc>
          <w:tcPr/>
          <w:p>
            <w:pPr>
              <w:pStyle w:val="Compact"/>
              <w:jc w:val="left"/>
            </w:pPr>
            <w:r>
              <w:t xml:space="preserve">0.08</w:t>
            </w:r>
          </w:p>
        </w:tc>
        <w:tc>
          <w:tcPr/>
          <w:p>
            <w:pPr>
              <w:pStyle w:val="Compact"/>
              <w:jc w:val="left"/>
            </w:pPr>
            <w:r>
              <w:t xml:space="preserve">100</w:t>
            </w:r>
          </w:p>
        </w:tc>
        <w:tc>
          <w:tcPr/>
          <w:p>
            <w:pPr>
              <w:pStyle w:val="Compact"/>
              <w:jc w:val="left"/>
            </w:pPr>
            <w:r>
              <w:t xml:space="preserve">70</w:t>
            </w:r>
          </w:p>
        </w:tc>
        <w:tc>
          <w:tcPr/>
          <w:p>
            <w:pPr>
              <w:pStyle w:val="Compact"/>
              <w:jc w:val="left"/>
            </w:pPr>
            <w:r>
              <w:t xml:space="preserve">2.0 h</w:t>
            </w:r>
          </w:p>
        </w:tc>
      </w:tr>
      <w:tr>
        <w:tc>
          <w:tcPr/>
          <w:p>
            <w:pPr>
              <w:pStyle w:val="Compact"/>
              <w:jc w:val="left"/>
            </w:pPr>
            <w:r>
              <w:t xml:space="preserve">Low-event ISR</w:t>
            </w:r>
          </w:p>
        </w:tc>
        <w:tc>
          <w:tcPr/>
          <w:p>
            <w:pPr>
              <w:pStyle w:val="Compact"/>
              <w:jc w:val="left"/>
            </w:pPr>
            <w:r>
              <w:t xml:space="preserve">0.12</w:t>
            </w:r>
          </w:p>
        </w:tc>
        <w:tc>
          <w:tcPr/>
          <w:p>
            <w:pPr>
              <w:pStyle w:val="Compact"/>
              <w:jc w:val="left"/>
            </w:pPr>
            <w:r>
              <w:t xml:space="preserve">100</w:t>
            </w:r>
          </w:p>
        </w:tc>
        <w:tc>
          <w:tcPr/>
          <w:p>
            <w:pPr>
              <w:pStyle w:val="Compact"/>
              <w:jc w:val="left"/>
            </w:pPr>
            <w:r>
              <w:t xml:space="preserve">65</w:t>
            </w:r>
          </w:p>
        </w:tc>
        <w:tc>
          <w:tcPr/>
          <w:p>
            <w:pPr>
              <w:pStyle w:val="Compact"/>
              <w:jc w:val="left"/>
            </w:pPr>
            <w:r>
              <w:t xml:space="preserve">1.5 h</w:t>
            </w:r>
          </w:p>
        </w:tc>
      </w:tr>
      <w:tr>
        <w:tc>
          <w:tcPr/>
          <w:p>
            <w:pPr>
              <w:pStyle w:val="Compact"/>
              <w:jc w:val="left"/>
            </w:pPr>
            <w:r>
              <w:t xml:space="preserve">Multi-vehicle supervisory</w:t>
            </w:r>
          </w:p>
        </w:tc>
        <w:tc>
          <w:tcPr/>
          <w:p>
            <w:pPr>
              <w:pStyle w:val="Compact"/>
              <w:jc w:val="left"/>
            </w:pPr>
            <w:r>
              <w:t xml:space="preserve">0.15</w:t>
            </w:r>
          </w:p>
        </w:tc>
        <w:tc>
          <w:tcPr/>
          <w:p>
            <w:pPr>
              <w:pStyle w:val="Compact"/>
              <w:jc w:val="left"/>
            </w:pPr>
            <w:r>
              <w:t xml:space="preserve">100</w:t>
            </w:r>
          </w:p>
        </w:tc>
        <w:tc>
          <w:tcPr/>
          <w:p>
            <w:pPr>
              <w:pStyle w:val="Compact"/>
              <w:jc w:val="left"/>
            </w:pPr>
            <w:r>
              <w:t xml:space="preserve">60</w:t>
            </w:r>
          </w:p>
        </w:tc>
        <w:tc>
          <w:tcPr/>
          <w:p>
            <w:pPr>
              <w:pStyle w:val="Compact"/>
              <w:jc w:val="left"/>
            </w:pPr>
            <w:r>
              <w:t xml:space="preserve">1.0 h</w:t>
            </w:r>
          </w:p>
        </w:tc>
      </w:tr>
      <w:tr>
        <w:tc>
          <w:tcPr/>
          <w:p>
            <w:pPr>
              <w:pStyle w:val="Compact"/>
              <w:jc w:val="left"/>
            </w:pPr>
            <w:r>
              <w:t xml:space="preserve">Ground teleoperation</w:t>
            </w:r>
          </w:p>
        </w:tc>
        <w:tc>
          <w:tcPr/>
          <w:p>
            <w:pPr>
              <w:pStyle w:val="Compact"/>
              <w:jc w:val="left"/>
            </w:pPr>
            <w:r>
              <w:t xml:space="preserve">0.10</w:t>
            </w:r>
          </w:p>
        </w:tc>
        <w:tc>
          <w:tcPr/>
          <w:p>
            <w:pPr>
              <w:pStyle w:val="Compact"/>
              <w:jc w:val="left"/>
            </w:pPr>
            <w:r>
              <w:t xml:space="preserve">100</w:t>
            </w:r>
          </w:p>
        </w:tc>
        <w:tc>
          <w:tcPr/>
          <w:p>
            <w:pPr>
              <w:pStyle w:val="Compact"/>
              <w:jc w:val="left"/>
            </w:pPr>
            <w:r>
              <w:t xml:space="preserve">70</w:t>
            </w:r>
          </w:p>
        </w:tc>
        <w:tc>
          <w:tcPr/>
          <w:p>
            <w:pPr>
              <w:pStyle w:val="Compact"/>
              <w:jc w:val="left"/>
            </w:pPr>
            <w:r>
              <w:t xml:space="preserve">1.5 h</w:t>
            </w:r>
          </w:p>
        </w:tc>
      </w:tr>
    </w:tbl>
    <w:p>
      <w:pPr>
        <w:pStyle w:val="BodyText"/>
      </w:pPr>
      <w:r>
        <w:t xml:space="preserve">Notes:</w:t>
      </w:r>
    </w:p>
    <w:p>
      <w:pPr>
        <w:numPr>
          <w:ilvl w:val="0"/>
          <w:numId w:val="1007"/>
        </w:numPr>
        <w:pStyle w:val="Compact"/>
      </w:pPr>
      <w:r>
        <w:rPr>
          <w:rStyle w:val="VerbatimChar"/>
        </w:rPr>
        <w:t xml:space="preserve">λ</w:t>
      </w:r>
      <w:r>
        <w:t xml:space="preserve"> </w:t>
      </w:r>
      <w:r>
        <w:t xml:space="preserve">values reflect the combined effect of sustained monitoring load and event rate; higher event rates partially counteract the decrement but introduce transient stress spikes (Warm 2008; Li et al. 2025 UAS cognitive-load systematic review).</w:t>
      </w:r>
    </w:p>
    <w:p>
      <w:pPr>
        <w:numPr>
          <w:ilvl w:val="0"/>
          <w:numId w:val="1007"/>
        </w:numPr>
        <w:pStyle w:val="Compact"/>
      </w:pPr>
      <w:r>
        <w:t xml:space="preserve">Recommended maximum sortie durations in the final column are</w:t>
      </w:r>
      <w:r>
        <w:t xml:space="preserve"> </w:t>
      </w:r>
      <w:r>
        <w:rPr>
          <w:bCs/>
          <w:b/>
        </w:rPr>
        <w:t xml:space="preserve">operational planning heuristics</w:t>
      </w:r>
      <w:r>
        <w:t xml:space="preserve">, not validated thresholds. They are intended to inform scheduling decisions before empirical field calibration is available.</w:t>
      </w:r>
    </w:p>
    <w:p>
      <w:pPr>
        <w:numPr>
          <w:ilvl w:val="0"/>
          <w:numId w:val="1007"/>
        </w:numPr>
        <w:pStyle w:val="Compact"/>
      </w:pPr>
      <w:r>
        <w:t xml:space="preserve">Subsea / long-latency teleoperation tasks (category 17) use</w:t>
      </w:r>
      <w:r>
        <w:t xml:space="preserve"> </w:t>
      </w:r>
      <w:r>
        <w:rPr>
          <w:rStyle w:val="VerbatimChar"/>
        </w:rPr>
        <w:t xml:space="preserve">λ = 0.10</w:t>
      </w:r>
      <w:r>
        <w:t xml:space="preserve"> </w:t>
      </w:r>
      <w:r>
        <w:t xml:space="preserve">unless control loop times exceed 1,500 ms, in which case</w:t>
      </w:r>
      <w:r>
        <w:t xml:space="preserve"> </w:t>
      </w:r>
      <w:r>
        <w:rPr>
          <w:rStyle w:val="VerbatimChar"/>
        </w:rPr>
        <w:t xml:space="preserve">λ</w:t>
      </w:r>
      <w:r>
        <w:t xml:space="preserve"> </w:t>
      </w:r>
      <w:r>
        <w:t xml:space="preserve">increases by 50 % due to additional cognitive load from predictive-control strategy requirements.</w:t>
      </w:r>
    </w:p>
    <w:bookmarkEnd w:id="39"/>
    <w:bookmarkStart w:id="40" w:name="worked-example"/>
    <w:p>
      <w:pPr>
        <w:pStyle w:val="Heading3"/>
      </w:pPr>
      <w:r>
        <w:t xml:space="preserve">Worked example</w:t>
      </w:r>
    </w:p>
    <w:p>
      <w:pPr>
        <w:pStyle w:val="FirstParagraph"/>
      </w:pPr>
      <w:r>
        <w:t xml:space="preserve">Low-event ISR operator 1.5 h into sortie:</w:t>
      </w:r>
    </w:p>
    <w:p>
      <w:pPr>
        <w:pStyle w:val="SourceCode"/>
      </w:pPr>
      <w:r>
        <w:rPr>
          <w:rStyle w:val="VerbatimChar"/>
        </w:rPr>
        <w:t xml:space="preserve">Vigilance_capacity(1.5) = (100 − 65) · e^(−0.12 · 1.5) + 65</w:t>
      </w:r>
      <w:r>
        <w:br/>
      </w:r>
      <w:r>
        <w:rPr>
          <w:rStyle w:val="VerbatimChar"/>
        </w:rPr>
        <w:t xml:space="preserve">                        = 35 · 0.8353 + 65</w:t>
      </w:r>
      <w:r>
        <w:br/>
      </w:r>
      <w:r>
        <w:rPr>
          <w:rStyle w:val="VerbatimChar"/>
        </w:rPr>
        <w:t xml:space="preserve">                        = 94.2</w:t>
      </w:r>
    </w:p>
    <w:p>
      <w:pPr>
        <w:pStyle w:val="FirstParagraph"/>
      </w:pPr>
      <w:r>
        <w:t xml:space="preserve">At 3 hours:</w:t>
      </w:r>
    </w:p>
    <w:p>
      <w:pPr>
        <w:pStyle w:val="SourceCode"/>
      </w:pPr>
      <w:r>
        <w:rPr>
          <w:rStyle w:val="VerbatimChar"/>
        </w:rPr>
        <w:t xml:space="preserve">Vigilance_capacity(3.0) = (100 − 65) · e^(−0.12 · 3.0) + 65</w:t>
      </w:r>
      <w:r>
        <w:br/>
      </w:r>
      <w:r>
        <w:rPr>
          <w:rStyle w:val="VerbatimChar"/>
        </w:rPr>
        <w:t xml:space="preserve">                        = 35 · 0.6977 + 65</w:t>
      </w:r>
      <w:r>
        <w:br/>
      </w:r>
      <w:r>
        <w:rPr>
          <w:rStyle w:val="VerbatimChar"/>
        </w:rPr>
        <w:t xml:space="preserve">                        = 89.4</w:t>
      </w:r>
    </w:p>
    <w:p>
      <w:pPr>
        <w:pStyle w:val="FirstParagraph"/>
      </w:pPr>
      <w:r>
        <w:t xml:space="preserve">The compositional form is preferred in implementation because it bounds the output cleanly to</w:t>
      </w:r>
      <w:r>
        <w:t xml:space="preserve"> </w:t>
      </w:r>
      <w:r>
        <w:rPr>
          <w:rStyle w:val="VerbatimChar"/>
        </w:rPr>
        <w:t xml:space="preserve">[Vmin, V0]</w:t>
      </w:r>
      <w:r>
        <w:t xml:space="preserve">.</w:t>
      </w:r>
    </w:p>
    <w:p>
      <w:r>
        <w:pict>
          <v:rect style="width:0;height:1.5pt" o:hralign="center" o:hrstd="t" o:hr="t"/>
        </w:pict>
      </w:r>
    </w:p>
    <w:bookmarkEnd w:id="40"/>
    <w:bookmarkEnd w:id="41"/>
    <w:bookmarkStart w:id="45" w:name="control-latency-penalty"/>
    <w:p>
      <w:pPr>
        <w:pStyle w:val="Heading2"/>
      </w:pPr>
      <w:r>
        <w:t xml:space="preserve">2. Control-latency penalty</w:t>
      </w:r>
    </w:p>
    <w:bookmarkStart w:id="42" w:name="functional-form-1"/>
    <w:p>
      <w:pPr>
        <w:pStyle w:val="Heading3"/>
      </w:pPr>
      <w:r>
        <w:t xml:space="preserve">Functional form</w:t>
      </w:r>
    </w:p>
    <w:p>
      <w:pPr>
        <w:pStyle w:val="FirstParagraph"/>
      </w:pPr>
      <w:r>
        <w:t xml:space="preserve">Control latency degrades teleoperator performance through move-and-wait behaviour and predictive-control burden (Chen, Haas &amp; Barnes, 2007; Li et al. 2025 UAS cognitive-load systematic review):</w:t>
      </w:r>
    </w:p>
    <w:p>
      <w:pPr>
        <w:pStyle w:val="SourceCode"/>
      </w:pPr>
      <w:r>
        <w:rPr>
          <w:rStyle w:val="VerbatimChar"/>
        </w:rPr>
        <w:t xml:space="preserve">Latency_penalty = 0.5 · ln(1 + latency_ms / 100)</w:t>
      </w:r>
    </w:p>
    <w:p>
      <w:pPr>
        <w:pStyle w:val="FirstParagraph"/>
      </w:pPr>
      <w:r>
        <w:t xml:space="preserve">The logarithmic form captures the observed diminishing-returns relationship between latency and performance loss: small latencies have minimal impact, intermediate latencies force strategy changes, and large latencies trigger supervisory-control transitions or autonomous handoff.</w:t>
      </w:r>
    </w:p>
    <w:bookmarkEnd w:id="42"/>
    <w:bookmarkStart w:id="43" w:name="latency-tiers-and-strategy-selection"/>
    <w:p>
      <w:pPr>
        <w:pStyle w:val="Heading3"/>
      </w:pPr>
      <w:r>
        <w:t xml:space="preserve">Latency tiers and strategy selection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Latency range (ms)</w:t>
            </w:r>
          </w:p>
        </w:tc>
        <w:tc>
          <w:tcPr/>
          <w:p>
            <w:pPr>
              <w:pStyle w:val="Compact"/>
              <w:jc w:val="left"/>
            </w:pPr>
            <w:r>
              <w:t xml:space="preserve">Latency_penalty (OPI points deducted)</w:t>
            </w:r>
          </w:p>
        </w:tc>
        <w:tc>
          <w:tcPr/>
          <w:p>
            <w:pPr>
              <w:pStyle w:val="Compact"/>
              <w:jc w:val="left"/>
            </w:pPr>
            <w:r>
              <w:t xml:space="preserve">Observed performance impact</w:t>
            </w:r>
          </w:p>
        </w:tc>
        <w:tc>
          <w:tcPr/>
          <w:p>
            <w:pPr>
              <w:pStyle w:val="Compact"/>
              <w:jc w:val="left"/>
            </w:pPr>
            <w:r>
              <w:t xml:space="preserve">Compensatory control strategy</w:t>
            </w:r>
          </w:p>
        </w:tc>
      </w:tr>
      <w:tr>
        <w:tc>
          <w:tcPr/>
          <w:p>
            <w:pPr>
              <w:pStyle w:val="Compact"/>
              <w:jc w:val="left"/>
            </w:pPr>
            <w:r>
              <w:t xml:space="preserve">&lt; 100</w:t>
            </w:r>
          </w:p>
        </w:tc>
        <w:tc>
          <w:tcPr/>
          <w:p>
            <w:pPr>
              <w:pStyle w:val="Compact"/>
              <w:jc w:val="left"/>
            </w:pPr>
            <w:r>
              <w:t xml:space="preserve">≈ 0</w:t>
            </w:r>
          </w:p>
        </w:tc>
        <w:tc>
          <w:tcPr/>
          <w:p>
            <w:pPr>
              <w:pStyle w:val="Compact"/>
              <w:jc w:val="left"/>
            </w:pPr>
            <w:r>
              <w:t xml:space="preserve">Negligible</w:t>
            </w:r>
          </w:p>
        </w:tc>
        <w:tc>
          <w:tcPr/>
          <w:p>
            <w:pPr>
              <w:pStyle w:val="Compact"/>
              <w:jc w:val="left"/>
            </w:pPr>
            <w:r>
              <w:t xml:space="preserve">Direct teleoperation; no adjustment</w:t>
            </w:r>
          </w:p>
        </w:tc>
      </w:tr>
      <w:tr>
        <w:tc>
          <w:tcPr/>
          <w:p>
            <w:pPr>
              <w:pStyle w:val="Compact"/>
              <w:jc w:val="left"/>
            </w:pPr>
            <w:r>
              <w:t xml:space="preserve">100 – 300</w:t>
            </w:r>
          </w:p>
        </w:tc>
        <w:tc>
          <w:tcPr/>
          <w:p>
            <w:pPr>
              <w:pStyle w:val="Compact"/>
              <w:jc w:val="left"/>
            </w:pPr>
            <w:r>
              <w:t xml:space="preserve">0.35 – 0.69</w:t>
            </w:r>
          </w:p>
        </w:tc>
        <w:tc>
          <w:tcPr/>
          <w:p>
            <w:pPr>
              <w:pStyle w:val="Compact"/>
              <w:jc w:val="left"/>
            </w:pPr>
            <w:r>
              <w:t xml:space="preserve">Mild — minor path deviations</w:t>
            </w:r>
          </w:p>
        </w:tc>
        <w:tc>
          <w:tcPr/>
          <w:p>
            <w:pPr>
              <w:pStyle w:val="Compact"/>
              <w:jc w:val="left"/>
            </w:pPr>
            <w:r>
              <w:t xml:space="preserve">Anticipatory control</w:t>
            </w:r>
          </w:p>
        </w:tc>
      </w:tr>
      <w:tr>
        <w:tc>
          <w:tcPr/>
          <w:p>
            <w:pPr>
              <w:pStyle w:val="Compact"/>
              <w:jc w:val="left"/>
            </w:pPr>
            <w:r>
              <w:t xml:space="preserve">300 – 700</w:t>
            </w:r>
          </w:p>
        </w:tc>
        <w:tc>
          <w:tcPr/>
          <w:p>
            <w:pPr>
              <w:pStyle w:val="Compact"/>
              <w:jc w:val="left"/>
            </w:pPr>
            <w:r>
              <w:t xml:space="preserve">0.69 – 1.05</w:t>
            </w:r>
          </w:p>
        </w:tc>
        <w:tc>
          <w:tcPr/>
          <w:p>
            <w:pPr>
              <w:pStyle w:val="Compact"/>
              <w:jc w:val="left"/>
            </w:pPr>
            <w:r>
              <w:t xml:space="preserve">Moderate — reduced dynamic response</w:t>
            </w:r>
          </w:p>
        </w:tc>
        <w:tc>
          <w:tcPr/>
          <w:p>
            <w:pPr>
              <w:pStyle w:val="Compact"/>
              <w:jc w:val="left"/>
            </w:pPr>
            <w:r>
              <w:t xml:space="preserve">Move-and-wait control</w:t>
            </w:r>
          </w:p>
        </w:tc>
      </w:tr>
      <w:tr>
        <w:tc>
          <w:tcPr/>
          <w:p>
            <w:pPr>
              <w:pStyle w:val="Compact"/>
              <w:jc w:val="left"/>
            </w:pPr>
            <w:r>
              <w:t xml:space="preserve">700 – 1500</w:t>
            </w:r>
          </w:p>
        </w:tc>
        <w:tc>
          <w:tcPr/>
          <w:p>
            <w:pPr>
              <w:pStyle w:val="Compact"/>
              <w:jc w:val="left"/>
            </w:pPr>
            <w:r>
              <w:t xml:space="preserve">1.05 – 1.39</w:t>
            </w:r>
          </w:p>
        </w:tc>
        <w:tc>
          <w:tcPr/>
          <w:p>
            <w:pPr>
              <w:pStyle w:val="Compact"/>
              <w:jc w:val="left"/>
            </w:pPr>
            <w:r>
              <w:t xml:space="preserve">Significant — persistent overshoots</w:t>
            </w:r>
          </w:p>
        </w:tc>
        <w:tc>
          <w:tcPr/>
          <w:p>
            <w:pPr>
              <w:pStyle w:val="Compact"/>
              <w:jc w:val="left"/>
            </w:pPr>
            <w:r>
              <w:t xml:space="preserve">Supervisory-control shift</w:t>
            </w:r>
          </w:p>
        </w:tc>
      </w:tr>
      <w:tr>
        <w:tc>
          <w:tcPr/>
          <w:p>
            <w:pPr>
              <w:pStyle w:val="Compact"/>
              <w:jc w:val="left"/>
            </w:pPr>
            <w:r>
              <w:t xml:space="preserve">&gt; 1500</w:t>
            </w:r>
          </w:p>
        </w:tc>
        <w:tc>
          <w:tcPr/>
          <w:p>
            <w:pPr>
              <w:pStyle w:val="Compact"/>
              <w:jc w:val="left"/>
            </w:pPr>
            <w:r>
              <w:t xml:space="preserve">&gt; 1.39</w:t>
            </w:r>
          </w:p>
        </w:tc>
        <w:tc>
          <w:tcPr/>
          <w:p>
            <w:pPr>
              <w:pStyle w:val="Compact"/>
              <w:jc w:val="left"/>
            </w:pPr>
            <w:r>
              <w:t xml:space="preserve">Severe — control-loop instability</w:t>
            </w:r>
          </w:p>
        </w:tc>
        <w:tc>
          <w:tcPr/>
          <w:p>
            <w:pPr>
              <w:pStyle w:val="Compact"/>
              <w:jc w:val="left"/>
            </w:pPr>
            <w:r>
              <w:t xml:space="preserve">Autonomous handoff recommended</w:t>
            </w:r>
          </w:p>
        </w:tc>
      </w:tr>
    </w:tbl>
    <w:p>
      <w:pPr>
        <w:pStyle w:val="BodyText"/>
      </w:pPr>
      <w:r>
        <w:t xml:space="preserve">Penalty magnitudes are intentionally modest in absolute terms. The operational effect on OPI comes primarily from</w:t>
      </w:r>
      <w:r>
        <w:t xml:space="preserve"> </w:t>
      </w:r>
      <w:r>
        <w:rPr>
          <w:bCs/>
          <w:b/>
        </w:rPr>
        <w:t xml:space="preserve">combination</w:t>
      </w:r>
      <w:r>
        <w:t xml:space="preserve"> </w:t>
      </w:r>
      <w:r>
        <w:t xml:space="preserve">with a reduced Vigilance_adj and Multi_vehicle_penalty (Table 2), not from latency alone.</w:t>
      </w:r>
    </w:p>
    <w:bookmarkEnd w:id="43"/>
    <w:bookmarkStart w:id="44" w:name="worked-example-1"/>
    <w:p>
      <w:pPr>
        <w:pStyle w:val="Heading3"/>
      </w:pPr>
      <w:r>
        <w:t xml:space="preserve">Worked example</w:t>
      </w:r>
    </w:p>
    <w:p>
      <w:pPr>
        <w:pStyle w:val="FirstParagraph"/>
      </w:pPr>
      <w:r>
        <w:t xml:space="preserve">Ground-robot teleoperator with 450 ms one-way control latency:</w:t>
      </w:r>
    </w:p>
    <w:p>
      <w:pPr>
        <w:pStyle w:val="SourceCode"/>
      </w:pPr>
      <w:r>
        <w:rPr>
          <w:rStyle w:val="VerbatimChar"/>
        </w:rPr>
        <w:t xml:space="preserve">Latency_penalty = 0.5 · ln(1 + 450 / 100)</w:t>
      </w:r>
      <w:r>
        <w:br/>
      </w:r>
      <w:r>
        <w:rPr>
          <w:rStyle w:val="VerbatimChar"/>
        </w:rPr>
        <w:t xml:space="preserve">                = 0.5 · ln(5.5)</w:t>
      </w:r>
      <w:r>
        <w:br/>
      </w:r>
      <w:r>
        <w:rPr>
          <w:rStyle w:val="VerbatimChar"/>
        </w:rPr>
        <w:t xml:space="preserve">                = 0.5 · 1.7047</w:t>
      </w:r>
      <w:r>
        <w:br/>
      </w:r>
      <w:r>
        <w:rPr>
          <w:rStyle w:val="VerbatimChar"/>
        </w:rPr>
        <w:t xml:space="preserve">                = 0.85</w:t>
      </w:r>
    </w:p>
    <w:p>
      <w:pPr>
        <w:pStyle w:val="FirstParagraph"/>
      </w:pPr>
      <w:r>
        <w:t xml:space="preserve">Subsea teleoperator with 1.2 s latency:</w:t>
      </w:r>
    </w:p>
    <w:p>
      <w:pPr>
        <w:pStyle w:val="SourceCode"/>
      </w:pPr>
      <w:r>
        <w:rPr>
          <w:rStyle w:val="VerbatimChar"/>
        </w:rPr>
        <w:t xml:space="preserve">Latency_penalty = 0.5 · ln(1 + 1200 / 100)</w:t>
      </w:r>
      <w:r>
        <w:br/>
      </w:r>
      <w:r>
        <w:rPr>
          <w:rStyle w:val="VerbatimChar"/>
        </w:rPr>
        <w:t xml:space="preserve">                = 0.5 · ln(13)</w:t>
      </w:r>
      <w:r>
        <w:br/>
      </w:r>
      <w:r>
        <w:rPr>
          <w:rStyle w:val="VerbatimChar"/>
        </w:rPr>
        <w:t xml:space="preserve">                = 0.5 · 2.5649</w:t>
      </w:r>
      <w:r>
        <w:br/>
      </w:r>
      <w:r>
        <w:rPr>
          <w:rStyle w:val="VerbatimChar"/>
        </w:rPr>
        <w:t xml:space="preserve">                = 1.28</w:t>
      </w:r>
    </w:p>
    <w:p>
      <w:r>
        <w:pict>
          <v:rect style="width:0;height:1.5pt" o:hralign="center" o:hrstd="t" o:hr="t"/>
        </w:pict>
      </w:r>
    </w:p>
    <w:bookmarkEnd w:id="44"/>
    <w:bookmarkEnd w:id="45"/>
    <w:bookmarkStart w:id="46" w:name="multi-vehicle-supervisory-penalty"/>
    <w:p>
      <w:pPr>
        <w:pStyle w:val="Heading2"/>
      </w:pPr>
      <w:r>
        <w:t xml:space="preserve">3. Multi-vehicle (supervisory) penalty</w:t>
      </w:r>
    </w:p>
    <w:p>
      <w:pPr>
        <w:pStyle w:val="FirstParagraph"/>
      </w:pPr>
      <w:r>
        <w:t xml:space="preserve">For supervisory control of multiple vehicles (e.g., swarm supervisory control, distributed ISR), the OPI includes an additive penalty:</w:t>
      </w:r>
    </w:p>
    <w:p>
      <w:pPr>
        <w:pStyle w:val="SourceCode"/>
      </w:pPr>
      <w:r>
        <w:rPr>
          <w:rStyle w:val="VerbatimChar"/>
        </w:rPr>
        <w:t xml:space="preserve">Multi_vehicle_penalty = 3 · (n_vehicles − 1)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n_vehicles</w:t>
            </w:r>
          </w:p>
        </w:tc>
        <w:tc>
          <w:tcPr/>
          <w:p>
            <w:pPr>
              <w:pStyle w:val="Compact"/>
              <w:jc w:val="left"/>
            </w:pPr>
            <w:r>
              <w:t xml:space="preserve">Penalty</w:t>
            </w:r>
          </w:p>
        </w:tc>
      </w:tr>
      <w:tr>
        <w:tc>
          <w:tcPr/>
          <w:p>
            <w:pPr>
              <w:pStyle w:val="Compact"/>
              <w:jc w:val="left"/>
            </w:pPr>
            <w:r>
              <w:t xml:space="preserve">1</w:t>
            </w:r>
          </w:p>
        </w:tc>
        <w:tc>
          <w:tcPr/>
          <w:p>
            <w:pPr>
              <w:pStyle w:val="Compact"/>
              <w:jc w:val="left"/>
            </w:pPr>
            <w:r>
              <w:t xml:space="preserve">0</w:t>
            </w:r>
          </w:p>
        </w:tc>
      </w:tr>
      <w:tr>
        <w:tc>
          <w:tcPr/>
          <w:p>
            <w:pPr>
              <w:pStyle w:val="Compact"/>
              <w:jc w:val="left"/>
            </w:pPr>
            <w:r>
              <w:t xml:space="preserve">2</w:t>
            </w:r>
          </w:p>
        </w:tc>
        <w:tc>
          <w:tcPr/>
          <w:p>
            <w:pPr>
              <w:pStyle w:val="Compact"/>
              <w:jc w:val="left"/>
            </w:pPr>
            <w:r>
              <w:t xml:space="preserve">3</w:t>
            </w:r>
          </w:p>
        </w:tc>
      </w:tr>
      <w:tr>
        <w:tc>
          <w:tcPr/>
          <w:p>
            <w:pPr>
              <w:pStyle w:val="Compact"/>
              <w:jc w:val="left"/>
            </w:pPr>
            <w:r>
              <w:t xml:space="preserve">3</w:t>
            </w:r>
          </w:p>
        </w:tc>
        <w:tc>
          <w:tcPr/>
          <w:p>
            <w:pPr>
              <w:pStyle w:val="Compact"/>
              <w:jc w:val="left"/>
            </w:pPr>
            <w:r>
              <w:t xml:space="preserve">6</w:t>
            </w:r>
          </w:p>
        </w:tc>
      </w:tr>
      <w:tr>
        <w:tc>
          <w:tcPr/>
          <w:p>
            <w:pPr>
              <w:pStyle w:val="Compact"/>
              <w:jc w:val="left"/>
            </w:pPr>
            <w:r>
              <w:t xml:space="preserve">4</w:t>
            </w:r>
          </w:p>
        </w:tc>
        <w:tc>
          <w:tcPr/>
          <w:p>
            <w:pPr>
              <w:pStyle w:val="Compact"/>
              <w:jc w:val="left"/>
            </w:pPr>
            <w:r>
              <w:t xml:space="preserve">9</w:t>
            </w:r>
          </w:p>
        </w:tc>
      </w:tr>
      <w:tr>
        <w:tc>
          <w:tcPr/>
          <w:p>
            <w:pPr>
              <w:pStyle w:val="Compact"/>
              <w:jc w:val="left"/>
            </w:pPr>
            <w:r>
              <w:t xml:space="preserve">5</w:t>
            </w:r>
          </w:p>
        </w:tc>
        <w:tc>
          <w:tcPr/>
          <w:p>
            <w:pPr>
              <w:pStyle w:val="Compact"/>
              <w:jc w:val="left"/>
            </w:pPr>
            <w:r>
              <w:t xml:space="preserve">12</w:t>
            </w:r>
          </w:p>
        </w:tc>
      </w:tr>
      <w:tr>
        <w:tc>
          <w:tcPr/>
          <w:p>
            <w:pPr>
              <w:pStyle w:val="Compact"/>
              <w:jc w:val="left"/>
            </w:pPr>
            <w:r>
              <w:t xml:space="preserve">8</w:t>
            </w:r>
          </w:p>
        </w:tc>
        <w:tc>
          <w:tcPr/>
          <w:p>
            <w:pPr>
              <w:pStyle w:val="Compact"/>
              <w:jc w:val="left"/>
            </w:pPr>
            <w:r>
              <w:t xml:space="preserve">21</w:t>
            </w:r>
          </w:p>
        </w:tc>
      </w:tr>
    </w:tbl>
    <w:p>
      <w:pPr>
        <w:pStyle w:val="BodyText"/>
      </w:pPr>
      <w:r>
        <w:t xml:space="preserve">Rationale: the operator’s attention capacity is assumed to share across vehicles with diminishing per-vehicle resource availability. The linear coefficient 3 was chosen to produce roughly 10 OPI-point deductions at 4-vehicle supervision, consistent with reported performance-cost ranges in supervisory-control literature. This is a conservative operational default; empirical calibration against sortie outcomes is future work.</w:t>
      </w:r>
    </w:p>
    <w:p>
      <w:r>
        <w:pict>
          <v:rect style="width:0;height:1.5pt" o:hralign="center" o:hrstd="t" o:hr="t"/>
        </w:pict>
      </w:r>
    </w:p>
    <w:bookmarkEnd w:id="46"/>
    <w:bookmarkStart w:id="47" w:name="implementation-notes"/>
    <w:p>
      <w:pPr>
        <w:pStyle w:val="Heading2"/>
      </w:pPr>
      <w:r>
        <w:t xml:space="preserve">4. Implementation notes</w:t>
      </w:r>
    </w:p>
    <w:p>
      <w:pPr>
        <w:numPr>
          <w:ilvl w:val="0"/>
          <w:numId w:val="1008"/>
        </w:numPr>
        <w:pStyle w:val="Compact"/>
      </w:pPr>
      <w:r>
        <w:t xml:space="preserve">In the current repository, the vigilance and latency formulas are instantiated in</w:t>
      </w:r>
      <w:r>
        <w:t xml:space="preserve"> </w:t>
      </w:r>
      <w:r>
        <w:rPr>
          <w:rStyle w:val="VerbatimChar"/>
        </w:rPr>
        <w:t xml:space="preserve">analysis/opi_worked_example.py</w:t>
      </w:r>
      <w:r>
        <w:t xml:space="preserve"> </w:t>
      </w:r>
      <w:r>
        <w:t xml:space="preserve">and documented in</w:t>
      </w:r>
      <w:r>
        <w:t xml:space="preserve"> </w:t>
      </w:r>
      <w:r>
        <w:rPr>
          <w:rStyle w:val="VerbatimChar"/>
        </w:rPr>
        <w:t xml:space="preserve">analysis/operational_performance_indicators_research.md</w:t>
      </w:r>
      <w:r>
        <w:t xml:space="preserve">; they are not yet exposed as a separately tested operational API pathway.</w:t>
      </w:r>
    </w:p>
    <w:p>
      <w:pPr>
        <w:numPr>
          <w:ilvl w:val="0"/>
          <w:numId w:val="1008"/>
        </w:numPr>
        <w:pStyle w:val="Compact"/>
      </w:pPr>
      <w:r>
        <w:t xml:space="preserve">Latency penalty requires external input from control-loop telemetry. In the worked example, latency is passed explicitly as a scenario parameter.</w:t>
      </w:r>
    </w:p>
    <w:p>
      <w:pPr>
        <w:numPr>
          <w:ilvl w:val="0"/>
          <w:numId w:val="1008"/>
        </w:numPr>
        <w:pStyle w:val="Compact"/>
      </w:pPr>
      <w:r>
        <w:t xml:space="preserve">Multi-vehicle penalty is specified at the framework level and can be applied once active-vehicle count is available to the operational pathway.</w:t>
      </w:r>
    </w:p>
    <w:bookmarkEnd w:id="47"/>
    <w:bookmarkStart w:id="48" w:name="cross-reference-2"/>
    <w:p>
      <w:pPr>
        <w:pStyle w:val="Heading2"/>
      </w:pPr>
      <w:r>
        <w:t xml:space="preserve">Cross-reference</w:t>
      </w:r>
    </w:p>
    <w:p>
      <w:pPr>
        <w:numPr>
          <w:ilvl w:val="0"/>
          <w:numId w:val="1009"/>
        </w:numPr>
        <w:pStyle w:val="Compact"/>
      </w:pPr>
      <w:r>
        <w:t xml:space="preserve">Task taxonomy and HRV signatures:</w:t>
      </w:r>
      <w:r>
        <w:t xml:space="preserve"> </w:t>
      </w:r>
      <w:r>
        <w:rPr>
          <w:rStyle w:val="VerbatimChar"/>
        </w:rPr>
        <w:t xml:space="preserve">manuscript/tables/opi_task_taxonomy.md</w:t>
      </w:r>
    </w:p>
    <w:p>
      <w:pPr>
        <w:numPr>
          <w:ilvl w:val="0"/>
          <w:numId w:val="1009"/>
        </w:numPr>
        <w:pStyle w:val="Compact"/>
      </w:pPr>
      <w:r>
        <w:t xml:space="preserve">Component weight profiles and overall OPI formulation:</w:t>
      </w:r>
      <w:r>
        <w:t xml:space="preserve"> </w:t>
      </w:r>
      <w:r>
        <w:rPr>
          <w:rStyle w:val="VerbatimChar"/>
        </w:rPr>
        <w:t xml:space="preserve">manuscript/tables/opi_weight_profiles.md</w:t>
      </w:r>
    </w:p>
    <w:p>
      <w:pPr>
        <w:numPr>
          <w:ilvl w:val="0"/>
          <w:numId w:val="1009"/>
        </w:numPr>
        <w:pStyle w:val="Compact"/>
      </w:pPr>
      <w:r>
        <w:t xml:space="preserve">Source literature derivation:</w:t>
      </w:r>
      <w:r>
        <w:t xml:space="preserve"> </w:t>
      </w:r>
      <w:r>
        <w:rPr>
          <w:rStyle w:val="VerbatimChar"/>
        </w:rPr>
        <w:t xml:space="preserve">analysis/operational_performance_indicators_research.md</w:t>
      </w:r>
      <w:r>
        <w:t xml:space="preserve"> </w:t>
      </w:r>
      <w:r>
        <w:t xml:space="preserve">§5.3-5.6</w:t>
      </w:r>
    </w:p>
    <w:bookmarkEnd w:id="48"/>
    <w:bookmarkStart w:id="49" w:name="primary-source-references"/>
    <w:p>
      <w:pPr>
        <w:pStyle w:val="Heading2"/>
      </w:pPr>
      <w:r>
        <w:t xml:space="preserve">Primary source references</w:t>
      </w:r>
    </w:p>
    <w:p>
      <w:pPr>
        <w:numPr>
          <w:ilvl w:val="0"/>
          <w:numId w:val="1010"/>
        </w:numPr>
        <w:pStyle w:val="Compact"/>
      </w:pPr>
      <w:r>
        <w:t xml:space="preserve">Warm, J. S., Parasuraman, R., &amp; Matthews, G. (2008). Vigilance requires hard mental work and is stressful.</w:t>
      </w:r>
      <w:r>
        <w:t xml:space="preserve"> </w:t>
      </w:r>
      <w:r>
        <w:rPr>
          <w:iCs/>
          <w:i/>
        </w:rPr>
        <w:t xml:space="preserve">Human Factors, 50</w:t>
      </w:r>
      <w:r>
        <w:t xml:space="preserve">(3), 433-441. doi:10.1518/001872008X312152</w:t>
      </w:r>
    </w:p>
    <w:p>
      <w:pPr>
        <w:numPr>
          <w:ilvl w:val="0"/>
          <w:numId w:val="1010"/>
        </w:numPr>
        <w:pStyle w:val="Compact"/>
      </w:pPr>
      <w:r>
        <w:t xml:space="preserve">Chen, J. Y. C., Haas, E. C., &amp; Barnes, M. J. (2007). Human performance issues and user interface design for teleoperated robots.</w:t>
      </w:r>
      <w:r>
        <w:t xml:space="preserve"> </w:t>
      </w:r>
      <w:r>
        <w:rPr>
          <w:iCs/>
          <w:i/>
        </w:rPr>
        <w:t xml:space="preserve">IEEE Transactions on Systems, Man, and Cybernetics, Part C, 37</w:t>
      </w:r>
      <w:r>
        <w:t xml:space="preserve">(6), 1231-1245. doi:10.1109/TSMCC.2007.905819</w:t>
      </w:r>
    </w:p>
    <w:p>
      <w:pPr>
        <w:numPr>
          <w:ilvl w:val="0"/>
          <w:numId w:val="1010"/>
        </w:numPr>
        <w:pStyle w:val="Compact"/>
      </w:pPr>
      <w:r>
        <w:t xml:space="preserve">Li, Q., Molloy, O., El-Fiqi, H., &amp; Eves, G. (2025). Applications of Machine Learning in Assessing Cognitive Load of Uncrewed Aerial System Operators and in Enhancing Training: A Systematic Review.</w:t>
      </w:r>
      <w:r>
        <w:t xml:space="preserve"> </w:t>
      </w:r>
      <w:r>
        <w:rPr>
          <w:iCs/>
          <w:i/>
        </w:rPr>
        <w:t xml:space="preserve">Drones, 9</w:t>
      </w:r>
      <w:r>
        <w:t xml:space="preserve">(11), 760. doi:10.3390/drones9110760</w:t>
      </w:r>
      <w:r>
        <w:t xml:space="preserve"> </w:t>
      </w:r>
      <w:r>
        <w:t xml:space="preserve"># Author: Dr Diego Malpica MD</w:t>
      </w:r>
    </w:p>
    <w:bookmarkEnd w:id="49"/>
    <w:bookmarkStart w:id="50" w:name="Xc61dda84d488273328807b4152ac715f16c8216"/>
    <w:p>
      <w:pPr>
        <w:pStyle w:val="Heading2"/>
      </w:pPr>
      <w:r>
        <w:t xml:space="preserve">Table 4. Reproducibility and Deployment Metadata</w:t>
      </w:r>
    </w:p>
    <w:p>
      <w:pPr>
        <w:pStyle w:val="FirstParagraph"/>
      </w:pPr>
      <w:r>
        <w:t xml:space="preserve">This table captures manuscript-level reproducibility metadata for the current submission candidate.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Current state</w:t>
            </w:r>
          </w:p>
        </w:tc>
        <w:tc>
          <w:tcPr/>
          <w:p>
            <w:pPr>
              <w:pStyle w:val="Compact"/>
              <w:jc w:val="left"/>
            </w:pPr>
            <w:r>
              <w:t xml:space="preserve">Evidence source</w:t>
            </w:r>
          </w:p>
        </w:tc>
        <w:tc>
          <w:tcPr/>
          <w:p>
            <w:pPr>
              <w:pStyle w:val="Compact"/>
              <w:jc w:val="left"/>
            </w:pPr>
            <w:r>
              <w:t xml:space="preserve">Submission note</w:t>
            </w:r>
          </w:p>
        </w:tc>
      </w:tr>
      <w:tr>
        <w:tc>
          <w:tcPr/>
          <w:p>
            <w:pPr>
              <w:pStyle w:val="Compact"/>
              <w:jc w:val="left"/>
            </w:pPr>
            <w:r>
              <w:t xml:space="preserve">Repository URL</w:t>
            </w:r>
          </w:p>
        </w:tc>
        <w:tc>
          <w:tcPr/>
          <w:p>
            <w:pPr>
              <w:pStyle w:val="Compact"/>
              <w:jc w:val="left"/>
            </w:pPr>
            <w:r>
              <w:rPr>
                <w:rStyle w:val="VerbatimChar"/>
              </w:rPr>
              <w:t xml:space="preserve">https://github.com/strikerdlm/HRV.git</w:t>
            </w:r>
          </w:p>
        </w:tc>
        <w:tc>
          <w:tcPr/>
          <w:p>
            <w:pPr>
              <w:pStyle w:val="Compact"/>
              <w:jc w:val="left"/>
            </w:pPr>
            <w:r>
              <w:t xml:space="preserve">Git remote,</w:t>
            </w:r>
            <w:r>
              <w:t xml:space="preserve"> </w:t>
            </w:r>
            <w:r>
              <w:rPr>
                <w:rStyle w:val="VerbatimChar"/>
              </w:rPr>
              <w:t xml:space="preserve">README.md</w:t>
            </w:r>
          </w:p>
        </w:tc>
        <w:tc>
          <w:tcPr/>
          <w:p>
            <w:pPr>
              <w:pStyle w:val="Compact"/>
              <w:jc w:val="left"/>
            </w:pPr>
            <w:r>
              <w:t xml:space="preserve">Safe to report in the manuscript.</w:t>
            </w:r>
          </w:p>
        </w:tc>
      </w:tr>
      <w:tr>
        <w:tc>
          <w:tcPr/>
          <w:p>
            <w:pPr>
              <w:pStyle w:val="Compact"/>
              <w:jc w:val="left"/>
            </w:pPr>
            <w:r>
              <w:t xml:space="preserve">License</w:t>
            </w:r>
          </w:p>
        </w:tc>
        <w:tc>
          <w:tcPr/>
          <w:p>
            <w:pPr>
              <w:pStyle w:val="Compact"/>
              <w:jc w:val="left"/>
            </w:pPr>
            <w:r>
              <w:t xml:space="preserve">MIT</w:t>
            </w:r>
          </w:p>
        </w:tc>
        <w:tc>
          <w:tcPr/>
          <w:p>
            <w:pPr>
              <w:pStyle w:val="Compact"/>
              <w:jc w:val="left"/>
            </w:pPr>
            <w:r>
              <w:rPr>
                <w:rStyle w:val="VerbatimChar"/>
              </w:rPr>
              <w:t xml:space="preserve">LICENSE</w:t>
            </w:r>
          </w:p>
        </w:tc>
        <w:tc>
          <w:tcPr/>
          <w:p>
            <w:pPr>
              <w:pStyle w:val="Compact"/>
              <w:jc w:val="left"/>
            </w:pPr>
            <w:r>
              <w:t xml:space="preserve">Safe to report in the manuscript.</w:t>
            </w:r>
          </w:p>
        </w:tc>
      </w:tr>
      <w:tr>
        <w:tc>
          <w:tcPr/>
          <w:p>
            <w:pPr>
              <w:pStyle w:val="Compact"/>
              <w:jc w:val="left"/>
            </w:pPr>
            <w:r>
              <w:t xml:space="preserve">Development state referenced by the draft</w:t>
            </w:r>
          </w:p>
        </w:tc>
        <w:tc>
          <w:tcPr/>
          <w:p>
            <w:pPr>
              <w:pStyle w:val="Compact"/>
              <w:jc w:val="left"/>
            </w:pPr>
            <w:r>
              <w:t xml:space="preserve">Active public git repository</w:t>
            </w:r>
          </w:p>
        </w:tc>
        <w:tc>
          <w:tcPr/>
          <w:p>
            <w:pPr>
              <w:pStyle w:val="Compact"/>
              <w:jc w:val="left"/>
            </w:pPr>
            <w:r>
              <w:t xml:space="preserve">Git metadata</w:t>
            </w:r>
          </w:p>
        </w:tc>
        <w:tc>
          <w:tcPr/>
          <w:p>
            <w:pPr>
              <w:pStyle w:val="Compact"/>
              <w:jc w:val="left"/>
            </w:pPr>
            <w:r>
              <w:t xml:space="preserve">Replace with a tagged release or archived DOI before submission.</w:t>
            </w:r>
          </w:p>
        </w:tc>
      </w:tr>
      <w:tr>
        <w:tc>
          <w:tcPr/>
          <w:p>
            <w:pPr>
              <w:pStyle w:val="Compact"/>
              <w:jc w:val="left"/>
            </w:pPr>
            <w:r>
              <w:t xml:space="preserve">Submission identifier</w:t>
            </w:r>
          </w:p>
        </w:tc>
        <w:tc>
          <w:tcPr/>
          <w:p>
            <w:pPr>
              <w:pStyle w:val="Compact"/>
              <w:jc w:val="left"/>
            </w:pPr>
            <w:r>
              <w:t xml:space="preserve">Not yet frozen</w:t>
            </w:r>
          </w:p>
        </w:tc>
        <w:tc>
          <w:tcPr/>
          <w:p>
            <w:pPr>
              <w:pStyle w:val="Compact"/>
              <w:jc w:val="left"/>
            </w:pPr>
            <w:r>
              <w:t xml:space="preserve">Git metadata</w:t>
            </w:r>
          </w:p>
        </w:tc>
        <w:tc>
          <w:tcPr/>
          <w:p>
            <w:pPr>
              <w:pStyle w:val="Compact"/>
              <w:jc w:val="left"/>
            </w:pPr>
            <w:r>
              <w:t xml:space="preserve">Cite a release tag or archive DOI in the final paper, not a moving branch head.</w:t>
            </w:r>
          </w:p>
        </w:tc>
      </w:tr>
      <w:tr>
        <w:tc>
          <w:tcPr/>
          <w:p>
            <w:pPr>
              <w:pStyle w:val="Compact"/>
              <w:jc w:val="left"/>
            </w:pPr>
            <w:r>
              <w:t xml:space="preserve">Primary documented environment</w:t>
            </w:r>
          </w:p>
        </w:tc>
        <w:tc>
          <w:tcPr/>
          <w:p>
            <w:pPr>
              <w:pStyle w:val="Compact"/>
              <w:jc w:val="left"/>
            </w:pPr>
            <w:r>
              <w:t xml:space="preserve">conda</w:t>
            </w:r>
            <w:r>
              <w:t xml:space="preserve"> </w:t>
            </w:r>
            <w:r>
              <w:rPr>
                <w:rStyle w:val="VerbatimChar"/>
              </w:rPr>
              <w:t xml:space="preserve">hrv-py312</w:t>
            </w:r>
            <w:r>
              <w:t xml:space="preserve">, Python 3.12</w:t>
            </w:r>
          </w:p>
        </w:tc>
        <w:tc>
          <w:tcPr/>
          <w:p>
            <w:pPr>
              <w:pStyle w:val="Compact"/>
              <w:jc w:val="left"/>
            </w:pPr>
            <w:r>
              <w:rPr>
                <w:rStyle w:val="VerbatimChar"/>
              </w:rPr>
              <w:t xml:space="preserve">WARP.md</w:t>
            </w:r>
            <w:r>
              <w:t xml:space="preserve">,</w:t>
            </w:r>
            <w:r>
              <w:t xml:space="preserve"> </w:t>
            </w:r>
            <w:r>
              <w:rPr>
                <w:rStyle w:val="VerbatimChar"/>
              </w:rPr>
              <w:t xml:space="preserve">README.md</w:t>
            </w:r>
            <w:r>
              <w:t xml:space="preserve">,</w:t>
            </w:r>
            <w:r>
              <w:t xml:space="preserve"> </w:t>
            </w:r>
            <w:r>
              <w:rPr>
                <w:rStyle w:val="VerbatimChar"/>
              </w:rPr>
              <w:t xml:space="preserve">AGENTS.md</w:t>
            </w:r>
          </w:p>
        </w:tc>
        <w:tc>
          <w:tcPr/>
          <w:p>
            <w:pPr>
              <w:pStyle w:val="Compact"/>
              <w:jc w:val="left"/>
            </w:pPr>
            <w:r>
              <w:t xml:space="preserve">Treat this as the authoritative environment unless container wording is harmonized.</w:t>
            </w:r>
          </w:p>
        </w:tc>
      </w:tr>
      <w:tr>
        <w:tc>
          <w:tcPr/>
          <w:p>
            <w:pPr>
              <w:pStyle w:val="Compact"/>
              <w:jc w:val="left"/>
            </w:pPr>
            <w:r>
              <w:t xml:space="preserve">Primary dependency declaration</w:t>
            </w:r>
          </w:p>
        </w:tc>
        <w:tc>
          <w:tcPr/>
          <w:p>
            <w:pPr>
              <w:pStyle w:val="Compact"/>
              <w:jc w:val="left"/>
            </w:pPr>
            <w:r>
              <w:rPr>
                <w:rStyle w:val="VerbatimChar"/>
              </w:rPr>
              <w:t xml:space="preserve">requirements.txt</w:t>
            </w:r>
          </w:p>
        </w:tc>
        <w:tc>
          <w:tcPr/>
          <w:p>
            <w:pPr>
              <w:pStyle w:val="Compact"/>
              <w:jc w:val="left"/>
            </w:pPr>
            <w:r>
              <w:t xml:space="preserve">Repository root</w:t>
            </w:r>
          </w:p>
        </w:tc>
        <w:tc>
          <w:tcPr/>
          <w:p>
            <w:pPr>
              <w:pStyle w:val="Compact"/>
              <w:jc w:val="left"/>
            </w:pPr>
            <w:r>
              <w:t xml:space="preserve">Safe to cite as the dependency anchor.</w:t>
            </w:r>
          </w:p>
        </w:tc>
      </w:tr>
      <w:tr>
        <w:tc>
          <w:tcPr/>
          <w:p>
            <w:pPr>
              <w:pStyle w:val="Compact"/>
              <w:jc w:val="left"/>
            </w:pPr>
            <w:r>
              <w:t xml:space="preserve">Primary delivery surfaces</w:t>
            </w:r>
          </w:p>
        </w:tc>
        <w:tc>
          <w:tcPr/>
          <w:p>
            <w:pPr>
              <w:pStyle w:val="Compact"/>
              <w:jc w:val="left"/>
            </w:pPr>
            <w:r>
              <w:t xml:space="preserve">Next.js frontend plus FastAPI orchestration over a shared Python backend</w:t>
            </w:r>
          </w:p>
        </w:tc>
        <w:tc>
          <w:tcPr/>
          <w:p>
            <w:pPr>
              <w:pStyle w:val="Compact"/>
              <w:jc w:val="left"/>
            </w:pPr>
            <w:r>
              <w:rPr>
                <w:rStyle w:val="VerbatimChar"/>
              </w:rPr>
              <w:t xml:space="preserve">frontend/</w:t>
            </w:r>
            <w:r>
              <w:t xml:space="preserve">,</w:t>
            </w:r>
            <w:r>
              <w:t xml:space="preserve"> </w:t>
            </w:r>
            <w:r>
              <w:rPr>
                <w:rStyle w:val="VerbatimChar"/>
              </w:rPr>
              <w:t xml:space="preserve">frontend/package.json</w:t>
            </w:r>
            <w:r>
              <w:t xml:space="preserve">,</w:t>
            </w:r>
            <w:r>
              <w:t xml:space="preserve"> </w:t>
            </w:r>
            <w:r>
              <w:rPr>
                <w:rStyle w:val="VerbatimChar"/>
              </w:rPr>
              <w:t xml:space="preserve">api/main.py</w:t>
            </w:r>
            <w:r>
              <w:t xml:space="preserve">,</w:t>
            </w:r>
            <w:r>
              <w:t xml:space="preserve"> </w:t>
            </w:r>
            <w:r>
              <w:rPr>
                <w:rStyle w:val="VerbatimChar"/>
              </w:rPr>
              <w:t xml:space="preserve">api/research_endpoints.py</w:t>
            </w:r>
          </w:p>
        </w:tc>
        <w:tc>
          <w:tcPr/>
          <w:p>
            <w:pPr>
              <w:pStyle w:val="Compact"/>
              <w:jc w:val="left"/>
            </w:pPr>
            <w:r>
              <w:t xml:space="preserve">Supports the primary web-delivery claim.</w:t>
            </w:r>
          </w:p>
        </w:tc>
      </w:tr>
      <w:tr>
        <w:tc>
          <w:tcPr/>
          <w:p>
            <w:pPr>
              <w:pStyle w:val="Compact"/>
              <w:jc w:val="left"/>
            </w:pPr>
            <w:r>
              <w:t xml:space="preserve">Secondary delivery surfaces</w:t>
            </w:r>
          </w:p>
        </w:tc>
        <w:tc>
          <w:tcPr/>
          <w:p>
            <w:pPr>
              <w:pStyle w:val="Compact"/>
              <w:jc w:val="left"/>
            </w:pPr>
            <w:r>
              <w:t xml:space="preserve">Research Streamlit and operational Streamlit</w:t>
            </w:r>
          </w:p>
        </w:tc>
        <w:tc>
          <w:tcPr/>
          <w:p>
            <w:pPr>
              <w:pStyle w:val="Compact"/>
              <w:jc w:val="left"/>
            </w:pPr>
            <w:r>
              <w:rPr>
                <w:rStyle w:val="VerbatimChar"/>
              </w:rPr>
              <w:t xml:space="preserve">app/research_app.py</w:t>
            </w:r>
            <w:r>
              <w:t xml:space="preserve">,</w:t>
            </w:r>
            <w:r>
              <w:t xml:space="preserve"> </w:t>
            </w:r>
            <w:r>
              <w:rPr>
                <w:rStyle w:val="VerbatimChar"/>
              </w:rPr>
              <w:t xml:space="preserve">app/operational_app.py</w:t>
            </w:r>
          </w:p>
        </w:tc>
        <w:tc>
          <w:tcPr/>
          <w:p>
            <w:pPr>
              <w:pStyle w:val="Compact"/>
              <w:jc w:val="left"/>
            </w:pPr>
            <w:r>
              <w:t xml:space="preserve">Keep visible for repo accuracy, but do not frame as the primary frontend scope of the paper.</w:t>
            </w:r>
          </w:p>
        </w:tc>
      </w:tr>
      <w:tr>
        <w:tc>
          <w:tcPr/>
          <w:p>
            <w:pPr>
              <w:pStyle w:val="Compact"/>
              <w:jc w:val="left"/>
            </w:pPr>
            <w:r>
              <w:t xml:space="preserve">Logging and audit support</w:t>
            </w:r>
          </w:p>
        </w:tc>
        <w:tc>
          <w:tcPr/>
          <w:p>
            <w:pPr>
              <w:pStyle w:val="Compact"/>
              <w:jc w:val="left"/>
            </w:pPr>
            <w:r>
              <w:t xml:space="preserve">Centralized logs under</w:t>
            </w:r>
            <w:r>
              <w:t xml:space="preserve"> </w:t>
            </w:r>
            <w:r>
              <w:rPr>
                <w:rStyle w:val="VerbatimChar"/>
              </w:rPr>
              <w:t xml:space="preserve">logs/</w:t>
            </w:r>
            <w:r>
              <w:t xml:space="preserve"> </w:t>
            </w:r>
            <w:r>
              <w:t xml:space="preserve">with structured helpers</w:t>
            </w:r>
          </w:p>
        </w:tc>
        <w:tc>
          <w:tcPr/>
          <w:p>
            <w:pPr>
              <w:pStyle w:val="Compact"/>
              <w:jc w:val="left"/>
            </w:pPr>
            <w:r>
              <w:rPr>
                <w:rStyle w:val="VerbatimChar"/>
              </w:rPr>
              <w:t xml:space="preserve">logging_config.py</w:t>
            </w:r>
            <w:r>
              <w:t xml:space="preserve">,</w:t>
            </w:r>
            <w:r>
              <w:t xml:space="preserve"> </w:t>
            </w:r>
            <w:r>
              <w:rPr>
                <w:rStyle w:val="VerbatimChar"/>
              </w:rPr>
              <w:t xml:space="preserve">WARP.md</w:t>
            </w:r>
          </w:p>
        </w:tc>
        <w:tc>
          <w:tcPr/>
          <w:p>
            <w:pPr>
              <w:pStyle w:val="Compact"/>
              <w:jc w:val="left"/>
            </w:pPr>
            <w:r>
              <w:t xml:space="preserve">Safe to describe as audit-oriented software infrastructure.</w:t>
            </w:r>
          </w:p>
        </w:tc>
      </w:tr>
      <w:tr>
        <w:tc>
          <w:tcPr/>
          <w:p>
            <w:pPr>
              <w:pStyle w:val="Compact"/>
              <w:jc w:val="left"/>
            </w:pPr>
            <w:r>
              <w:t xml:space="preserve">Export and reporting utilities</w:t>
            </w:r>
          </w:p>
        </w:tc>
        <w:tc>
          <w:tcPr/>
          <w:p>
            <w:pPr>
              <w:pStyle w:val="Compact"/>
              <w:jc w:val="left"/>
            </w:pPr>
            <w:r>
              <w:t xml:space="preserve">Structured export modules for tables, summaries, and reporting artifacts</w:t>
            </w:r>
          </w:p>
        </w:tc>
        <w:tc>
          <w:tcPr/>
          <w:p>
            <w:pPr>
              <w:pStyle w:val="Compact"/>
              <w:jc w:val="left"/>
            </w:pPr>
            <w:r>
              <w:rPr>
                <w:rStyle w:val="VerbatimChar"/>
              </w:rPr>
              <w:t xml:space="preserve">app/publication_export.py</w:t>
            </w:r>
            <w:r>
              <w:t xml:space="preserve">,</w:t>
            </w:r>
            <w:r>
              <w:t xml:space="preserve"> </w:t>
            </w:r>
            <w:r>
              <w:rPr>
                <w:rStyle w:val="VerbatimChar"/>
              </w:rPr>
              <w:t xml:space="preserve">app/export_utils.py</w:t>
            </w:r>
          </w:p>
        </w:tc>
        <w:tc>
          <w:tcPr/>
          <w:p>
            <w:pPr>
              <w:pStyle w:val="Compact"/>
              <w:jc w:val="left"/>
            </w:pPr>
            <w:r>
              <w:t xml:space="preserve">Safe to report as implemented reproducibility support.</w:t>
            </w:r>
          </w:p>
        </w:tc>
      </w:tr>
      <w:tr>
        <w:tc>
          <w:tcPr/>
          <w:p>
            <w:pPr>
              <w:pStyle w:val="Compact"/>
              <w:jc w:val="left"/>
            </w:pPr>
            <w:r>
              <w:t xml:space="preserve">Automated verification surface</w:t>
            </w:r>
          </w:p>
        </w:tc>
        <w:tc>
          <w:tcPr/>
          <w:p>
            <w:pPr>
              <w:pStyle w:val="Compact"/>
              <w:jc w:val="left"/>
            </w:pPr>
            <w:r>
              <w:t xml:space="preserve">Representative tests across scheduling, FRMS, PVT, sleep, API, and reporting pathways</w:t>
            </w:r>
          </w:p>
        </w:tc>
        <w:tc>
          <w:tcPr/>
          <w:p>
            <w:pPr>
              <w:pStyle w:val="Compact"/>
              <w:jc w:val="left"/>
            </w:pPr>
            <w:r>
              <w:rPr>
                <w:rStyle w:val="VerbatimChar"/>
              </w:rPr>
              <w:t xml:space="preserve">tests/</w:t>
            </w:r>
            <w:r>
              <w:t xml:space="preserve">,</w:t>
            </w:r>
            <w:r>
              <w:t xml:space="preserve"> </w:t>
            </w:r>
            <w:r>
              <w:rPr>
                <w:rStyle w:val="VerbatimChar"/>
              </w:rPr>
              <w:t xml:space="preserve">manuscript/evidence/validation_story.md</w:t>
            </w:r>
          </w:p>
        </w:tc>
        <w:tc>
          <w:tcPr/>
          <w:p>
            <w:pPr>
              <w:pStyle w:val="Compact"/>
              <w:jc w:val="left"/>
            </w:pPr>
            <w:r>
              <w:t xml:space="preserve">Safe to summarize as engineering verification only.</w:t>
            </w:r>
          </w:p>
        </w:tc>
      </w:tr>
      <w:tr>
        <w:tc>
          <w:tcPr/>
          <w:p>
            <w:pPr>
              <w:pStyle w:val="Compact"/>
              <w:jc w:val="left"/>
            </w:pPr>
            <w:r>
              <w:t xml:space="preserve">Derived analysis artifacts</w:t>
            </w:r>
          </w:p>
        </w:tc>
        <w:tc>
          <w:tcPr/>
          <w:p>
            <w:pPr>
              <w:pStyle w:val="Compact"/>
              <w:jc w:val="left"/>
            </w:pPr>
            <w:r>
              <w:t xml:space="preserve">Worked-example JSON and figure-generation scripts exist under</w:t>
            </w:r>
            <w:r>
              <w:t xml:space="preserve"> </w:t>
            </w:r>
            <w:r>
              <w:rPr>
                <w:rStyle w:val="VerbatimChar"/>
              </w:rPr>
              <w:t xml:space="preserve">analysis/</w:t>
            </w:r>
          </w:p>
        </w:tc>
        <w:tc>
          <w:tcPr/>
          <w:p>
            <w:pPr>
              <w:pStyle w:val="Compact"/>
              <w:jc w:val="left"/>
            </w:pPr>
            <w:r>
              <w:t xml:space="preserve">Repository artifacts, validation story</w:t>
            </w:r>
          </w:p>
        </w:tc>
        <w:tc>
          <w:tcPr/>
          <w:p>
            <w:pPr>
              <w:pStyle w:val="Compact"/>
              <w:jc w:val="left"/>
            </w:pPr>
            <w:r>
              <w:t xml:space="preserve">Keep secondary unless provenance is manuscript-ready and explicitly disclosed.</w:t>
            </w:r>
          </w:p>
        </w:tc>
      </w:tr>
    </w:tbl>
    <w:bookmarkEnd w:id="50"/>
    <w:bookmarkEnd w:id="51"/>
    <w:bookmarkStart w:id="53" w:name="author-dr-diego-malpica-md"/>
    <w:p>
      <w:pPr>
        <w:pStyle w:val="Heading1"/>
      </w:pPr>
      <w:r>
        <w:t xml:space="preserve">Author: Dr Diego Malpica MD</w:t>
      </w:r>
    </w:p>
    <w:bookmarkStart w:id="52" w:name="Xea27bac4d085ec400dd48fcb877269f02e5bf0e"/>
    <w:p>
      <w:pPr>
        <w:pStyle w:val="Heading2"/>
      </w:pPr>
      <w:r>
        <w:t xml:space="preserve">Table 5. Engineering Verification Coverage by OPI Pathway</w:t>
      </w:r>
    </w:p>
    <w:p>
      <w:pPr>
        <w:pStyle w:val="FirstParagraph"/>
      </w:pPr>
      <w:r>
        <w:t xml:space="preserve">This table summarizes representative software-verification evidence that is safe to cite in the Results section. It should be interpreted as engineering verification, not as clinical or operational validation.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Layer</w:t>
            </w:r>
          </w:p>
        </w:tc>
        <w:tc>
          <w:tcPr/>
          <w:p>
            <w:pPr>
              <w:pStyle w:val="Compact"/>
              <w:jc w:val="left"/>
            </w:pPr>
            <w:r>
              <w:t xml:space="preserve">Representative tests or artifacts</w:t>
            </w:r>
          </w:p>
        </w:tc>
        <w:tc>
          <w:tcPr/>
          <w:p>
            <w:pPr>
              <w:pStyle w:val="Compact"/>
              <w:jc w:val="left"/>
            </w:pPr>
            <w:r>
              <w:t xml:space="preserve">What is verified</w:t>
            </w:r>
          </w:p>
        </w:tc>
        <w:tc>
          <w:tcPr/>
          <w:p>
            <w:pPr>
              <w:pStyle w:val="Compact"/>
              <w:jc w:val="left"/>
            </w:pPr>
            <w:r>
              <w:t xml:space="preserve">Manuscript-safe interpretation</w:t>
            </w:r>
          </w:p>
        </w:tc>
        <w:tc>
          <w:tcPr/>
          <w:p>
            <w:pPr>
              <w:pStyle w:val="Compact"/>
              <w:jc w:val="left"/>
            </w:pPr>
            <w:r>
              <w:t xml:space="preserve">Boundary or caveat</w:t>
            </w:r>
          </w:p>
        </w:tc>
      </w:tr>
      <w:tr>
        <w:tc>
          <w:tcPr/>
          <w:p>
            <w:pPr>
              <w:pStyle w:val="Compact"/>
              <w:jc w:val="left"/>
            </w:pPr>
            <w:r>
              <w:t xml:space="preserve">HRV analytic core</w:t>
            </w:r>
          </w:p>
        </w:tc>
        <w:tc>
          <w:tcPr/>
          <w:p>
            <w:pPr>
              <w:pStyle w:val="Compact"/>
              <w:jc w:val="left"/>
            </w:pPr>
            <w:r>
              <w:rPr>
                <w:rStyle w:val="VerbatimChar"/>
              </w:rPr>
              <w:t xml:space="preserve">app/hrv_core.py</w:t>
            </w:r>
            <w:r>
              <w:t xml:space="preserve">,</w:t>
            </w:r>
            <w:r>
              <w:t xml:space="preserve"> </w:t>
            </w:r>
            <w:r>
              <w:rPr>
                <w:rStyle w:val="VerbatimChar"/>
              </w:rPr>
              <w:t xml:space="preserve">tests/test_research_windowed_endpoint.py</w:t>
            </w:r>
          </w:p>
        </w:tc>
        <w:tc>
          <w:tcPr/>
          <w:p>
            <w:pPr>
              <w:pStyle w:val="Compact"/>
              <w:jc w:val="left"/>
            </w:pPr>
            <w:r>
              <w:t xml:space="preserve">Indirect evidence that the HRV computation layer is wired into endpoint workflows and can be executed through repository pathways.</w:t>
            </w:r>
          </w:p>
        </w:tc>
        <w:tc>
          <w:tcPr/>
          <w:p>
            <w:pPr>
              <w:pStyle w:val="Compact"/>
              <w:jc w:val="left"/>
            </w:pPr>
            <w:r>
              <w:t xml:space="preserve">Supports reporting of implemented HRV numerics and endpoint connectivity.</w:t>
            </w:r>
          </w:p>
        </w:tc>
        <w:tc>
          <w:tcPr/>
          <w:p>
            <w:pPr>
              <w:pStyle w:val="Compact"/>
              <w:jc w:val="left"/>
            </w:pPr>
            <w:r>
              <w:t xml:space="preserve">Stronger as implementation evidence than as external numerical benchmark evidence.</w:t>
            </w:r>
          </w:p>
        </w:tc>
      </w:tr>
      <w:tr>
        <w:tc>
          <w:tcPr/>
          <w:p>
            <w:pPr>
              <w:pStyle w:val="Compact"/>
              <w:jc w:val="left"/>
            </w:pPr>
            <w:r>
              <w:t xml:space="preserve">SAFTE/circadian model layer</w:t>
            </w:r>
          </w:p>
        </w:tc>
        <w:tc>
          <w:tcPr/>
          <w:p>
            <w:pPr>
              <w:pStyle w:val="Compact"/>
              <w:jc w:val="left"/>
            </w:pPr>
            <w:r>
              <w:rPr>
                <w:rStyle w:val="VerbatimChar"/>
              </w:rPr>
              <w:t xml:space="preserve">tests/test_frms.py</w:t>
            </w:r>
            <w:r>
              <w:t xml:space="preserve">,</w:t>
            </w:r>
            <w:r>
              <w:t xml:space="preserve"> </w:t>
            </w:r>
            <w:r>
              <w:rPr>
                <w:rStyle w:val="VerbatimChar"/>
              </w:rPr>
              <w:t xml:space="preserve">tests/test_frms_v2.py</w:t>
            </w:r>
            <w:r>
              <w:t xml:space="preserve">,</w:t>
            </w:r>
            <w:r>
              <w:t xml:space="preserve"> </w:t>
            </w:r>
            <w:r>
              <w:rPr>
                <w:rStyle w:val="VerbatimChar"/>
              </w:rPr>
              <w:t xml:space="preserve">tests/test_fatigue_integration.py</w:t>
            </w:r>
            <w:r>
              <w:t xml:space="preserve">,</w:t>
            </w:r>
            <w:r>
              <w:t xml:space="preserve"> </w:t>
            </w:r>
            <w:r>
              <w:rPr>
                <w:rStyle w:val="VerbatimChar"/>
              </w:rPr>
              <w:t xml:space="preserve">frontend/src/lib/safte-model.ts</w:t>
            </w:r>
          </w:p>
        </w:tc>
        <w:tc>
          <w:tcPr/>
          <w:p>
            <w:pPr>
              <w:pStyle w:val="Compact"/>
              <w:jc w:val="left"/>
            </w:pPr>
            <w:r>
              <w:t xml:space="preserve">Fatigue-model behavior, FRMS-related scoring, and mirrored client/backend fatigue logic.</w:t>
            </w:r>
          </w:p>
        </w:tc>
        <w:tc>
          <w:tcPr/>
          <w:p>
            <w:pPr>
              <w:pStyle w:val="Compact"/>
              <w:jc w:val="left"/>
            </w:pPr>
            <w:r>
              <w:t xml:space="preserve">Supports reporting of an explicit fatigue-governance and circadian modeling layer.</w:t>
            </w:r>
          </w:p>
        </w:tc>
        <w:tc>
          <w:tcPr/>
          <w:p>
            <w:pPr>
              <w:pStyle w:val="Compact"/>
              <w:jc w:val="left"/>
            </w:pPr>
            <w:r>
              <w:t xml:space="preserve">Not a substitute for prospective fatigue-outcome validation or full frontend/backend parity testing.</w:t>
            </w:r>
          </w:p>
        </w:tc>
      </w:tr>
      <w:tr>
        <w:tc>
          <w:tcPr/>
          <w:p>
            <w:pPr>
              <w:pStyle w:val="Compact"/>
              <w:jc w:val="left"/>
            </w:pPr>
            <w:r>
              <w:t xml:space="preserve">Readiness fusion and scheduling logic</w:t>
            </w:r>
          </w:p>
        </w:tc>
        <w:tc>
          <w:tcPr/>
          <w:p>
            <w:pPr>
              <w:pStyle w:val="Compact"/>
              <w:jc w:val="left"/>
            </w:pPr>
            <w:r>
              <w:rPr>
                <w:rStyle w:val="VerbatimChar"/>
              </w:rPr>
              <w:t xml:space="preserve">tests/test_scheduling_core.py</w:t>
            </w:r>
          </w:p>
        </w:tc>
        <w:tc>
          <w:tcPr/>
          <w:p>
            <w:pPr>
              <w:pStyle w:val="Compact"/>
              <w:jc w:val="left"/>
            </w:pPr>
            <w:r>
              <w:t xml:space="preserve">Deterministic threshold logic, score composition, and rule behavior for operational decision pathways.</w:t>
            </w:r>
          </w:p>
        </w:tc>
        <w:tc>
          <w:tcPr/>
          <w:p>
            <w:pPr>
              <w:pStyle w:val="Compact"/>
              <w:jc w:val="left"/>
            </w:pPr>
            <w:r>
              <w:t xml:space="preserve">Supports the claim that readiness fusion is implemented and regression-tested.</w:t>
            </w:r>
          </w:p>
        </w:tc>
        <w:tc>
          <w:tcPr/>
          <w:p>
            <w:pPr>
              <w:pStyle w:val="Compact"/>
              <w:jc w:val="left"/>
            </w:pPr>
            <w:r>
              <w:t xml:space="preserve">Does not establish real-world mission effectiveness.</w:t>
            </w:r>
          </w:p>
        </w:tc>
      </w:tr>
      <w:tr>
        <w:tc>
          <w:tcPr/>
          <w:p>
            <w:pPr>
              <w:pStyle w:val="Compact"/>
              <w:jc w:val="left"/>
            </w:pPr>
            <w:r>
              <w:t xml:space="preserve">PVT vigilance module</w:t>
            </w:r>
          </w:p>
        </w:tc>
        <w:tc>
          <w:tcPr/>
          <w:p>
            <w:pPr>
              <w:pStyle w:val="Compact"/>
              <w:jc w:val="left"/>
            </w:pPr>
            <w:r>
              <w:rPr>
                <w:rStyle w:val="VerbatimChar"/>
              </w:rPr>
              <w:t xml:space="preserve">tests/test_pvt_core.py</w:t>
            </w:r>
            <w:r>
              <w:t xml:space="preserve">,</w:t>
            </w:r>
            <w:r>
              <w:t xml:space="preserve"> </w:t>
            </w:r>
            <w:r>
              <w:rPr>
                <w:rStyle w:val="VerbatimChar"/>
              </w:rPr>
              <w:t xml:space="preserve">api/pvt_endpoints.py</w:t>
            </w:r>
            <w:r>
              <w:t xml:space="preserve">,</w:t>
            </w:r>
            <w:r>
              <w:t xml:space="preserve"> </w:t>
            </w:r>
            <w:r>
              <w:rPr>
                <w:rStyle w:val="VerbatimChar"/>
              </w:rPr>
              <w:t xml:space="preserve">frontend/src/lib/pvt-scoring.ts</w:t>
            </w:r>
          </w:p>
        </w:tc>
        <w:tc>
          <w:tcPr/>
          <w:p>
            <w:pPr>
              <w:pStyle w:val="Compact"/>
              <w:jc w:val="left"/>
            </w:pPr>
            <w:r>
              <w:t xml:space="preserve">Canonical PVT scoring, variant scaling, and operational gate integration.</w:t>
            </w:r>
          </w:p>
        </w:tc>
        <w:tc>
          <w:tcPr/>
          <w:p>
            <w:pPr>
              <w:pStyle w:val="Compact"/>
              <w:jc w:val="left"/>
            </w:pPr>
            <w:r>
              <w:t xml:space="preserve">Supports the claim that the PVT module is implemented and regression-tested as a vigilance-related input to readiness fusion.</w:t>
            </w:r>
          </w:p>
        </w:tc>
        <w:tc>
          <w:tcPr/>
          <w:p>
            <w:pPr>
              <w:pStyle w:val="Compact"/>
              <w:jc w:val="left"/>
            </w:pPr>
            <w:r>
              <w:t xml:space="preserve">Browser timing still inherits published web-PVT precision bounds rather than independent hardware validation in this manuscript.</w:t>
            </w:r>
          </w:p>
        </w:tc>
      </w:tr>
      <w:tr>
        <w:tc>
          <w:tcPr/>
          <w:p>
            <w:pPr>
              <w:pStyle w:val="Compact"/>
              <w:jc w:val="left"/>
            </w:pPr>
            <w:r>
              <w:t xml:space="preserve">Sleep analytics module</w:t>
            </w:r>
          </w:p>
        </w:tc>
        <w:tc>
          <w:tcPr/>
          <w:p>
            <w:pPr>
              <w:pStyle w:val="Compact"/>
              <w:jc w:val="left"/>
            </w:pPr>
            <w:r>
              <w:rPr>
                <w:rStyle w:val="VerbatimChar"/>
              </w:rPr>
              <w:t xml:space="preserve">tests/test_sleep_core.py</w:t>
            </w:r>
            <w:r>
              <w:t xml:space="preserve">,</w:t>
            </w:r>
            <w:r>
              <w:t xml:space="preserve"> </w:t>
            </w:r>
            <w:r>
              <w:rPr>
                <w:rStyle w:val="VerbatimChar"/>
              </w:rPr>
              <w:t xml:space="preserve">app/sleep_core.py</w:t>
            </w:r>
            <w:r>
              <w:t xml:space="preserve">,</w:t>
            </w:r>
            <w:r>
              <w:t xml:space="preserve"> </w:t>
            </w:r>
            <w:r>
              <w:rPr>
                <w:rStyle w:val="VerbatimChar"/>
              </w:rPr>
              <w:t xml:space="preserve">api/research_endpoints.py</w:t>
            </w:r>
          </w:p>
        </w:tc>
        <w:tc>
          <w:tcPr/>
          <w:p>
            <w:pPr>
              <w:pStyle w:val="Compact"/>
              <w:jc w:val="left"/>
            </w:pPr>
            <w:r>
              <w:t xml:space="preserve">Sleep debt, Sleep Regularity Index, screening bands, operational gate behavior, and correlation calculations.</w:t>
            </w:r>
          </w:p>
        </w:tc>
        <w:tc>
          <w:tcPr/>
          <w:p>
            <w:pPr>
              <w:pStyle w:val="Compact"/>
              <w:jc w:val="left"/>
            </w:pPr>
            <w:r>
              <w:t xml:space="preserve">Supports the claim that the sleep module is implemented and regression-tested.</w:t>
            </w:r>
          </w:p>
        </w:tc>
        <w:tc>
          <w:tcPr/>
          <w:p>
            <w:pPr>
              <w:pStyle w:val="Compact"/>
              <w:jc w:val="left"/>
            </w:pPr>
            <w:r>
              <w:t xml:space="preserve">Not a substitute for PSG validation or clinical sleep diagnosis.</w:t>
            </w:r>
          </w:p>
        </w:tc>
      </w:tr>
      <w:tr>
        <w:tc>
          <w:tcPr/>
          <w:p>
            <w:pPr>
              <w:pStyle w:val="Compact"/>
              <w:jc w:val="left"/>
            </w:pPr>
            <w:r>
              <w:t xml:space="preserve">Longitudinal trajectory-risk module</w:t>
            </w:r>
          </w:p>
        </w:tc>
        <w:tc>
          <w:tcPr/>
          <w:p>
            <w:pPr>
              <w:pStyle w:val="Compact"/>
              <w:jc w:val="left"/>
            </w:pPr>
            <w:r>
              <w:rPr>
                <w:rStyle w:val="VerbatimChar"/>
              </w:rPr>
              <w:t xml:space="preserve">app/trajectory_risk.py</w:t>
            </w:r>
          </w:p>
        </w:tc>
        <w:tc>
          <w:tcPr/>
          <w:p>
            <w:pPr>
              <w:pStyle w:val="Compact"/>
              <w:jc w:val="left"/>
            </w:pPr>
            <w:r>
              <w:t xml:space="preserve">EWMA-based longitudinal modifier and risk classification are implemented in repository code.</w:t>
            </w:r>
          </w:p>
        </w:tc>
        <w:tc>
          <w:tcPr/>
          <w:p>
            <w:pPr>
              <w:pStyle w:val="Compact"/>
              <w:jc w:val="left"/>
            </w:pPr>
            <w:r>
              <w:t xml:space="preserve">Supports reporting of an implemented longitudinal adjustment layer.</w:t>
            </w:r>
          </w:p>
        </w:tc>
        <w:tc>
          <w:tcPr/>
          <w:p>
            <w:pPr>
              <w:pStyle w:val="Compact"/>
              <w:jc w:val="left"/>
            </w:pPr>
            <w:r>
              <w:t xml:space="preserve">Dedicated regression tests are not yet present; do not frame this layer as regression-tested.</w:t>
            </w:r>
          </w:p>
        </w:tc>
      </w:tr>
      <w:tr>
        <w:tc>
          <w:tcPr/>
          <w:p>
            <w:pPr>
              <w:pStyle w:val="Compact"/>
              <w:jc w:val="left"/>
            </w:pPr>
            <w:r>
              <w:t xml:space="preserve">API-backed web delivery</w:t>
            </w:r>
          </w:p>
        </w:tc>
        <w:tc>
          <w:tcPr/>
          <w:p>
            <w:pPr>
              <w:pStyle w:val="Compact"/>
              <w:jc w:val="left"/>
            </w:pPr>
            <w:r>
              <w:rPr>
                <w:rStyle w:val="VerbatimChar"/>
              </w:rPr>
              <w:t xml:space="preserve">tests/test_api_user_profile_normalization.py</w:t>
            </w:r>
            <w:r>
              <w:t xml:space="preserve">,</w:t>
            </w:r>
            <w:r>
              <w:t xml:space="preserve"> </w:t>
            </w:r>
            <w:r>
              <w:rPr>
                <w:rStyle w:val="VerbatimChar"/>
              </w:rPr>
              <w:t xml:space="preserve">tests/test_research_windowed_endpoint.py</w:t>
            </w:r>
          </w:p>
        </w:tc>
        <w:tc>
          <w:tcPr/>
          <w:p>
            <w:pPr>
              <w:pStyle w:val="Compact"/>
              <w:jc w:val="left"/>
            </w:pPr>
            <w:r>
              <w:t xml:space="preserve">Profile normalization, request/response behavior, and endpoint-level analytical pathways that support the Next.js client.</w:t>
            </w:r>
          </w:p>
        </w:tc>
        <w:tc>
          <w:tcPr/>
          <w:p>
            <w:pPr>
              <w:pStyle w:val="Compact"/>
              <w:jc w:val="left"/>
            </w:pPr>
            <w:r>
              <w:t xml:space="preserve">Supports the web-delivery and reproducibility claims for tested pathways.</w:t>
            </w:r>
          </w:p>
        </w:tc>
        <w:tc>
          <w:tcPr/>
          <w:p>
            <w:pPr>
              <w:pStyle w:val="Compact"/>
              <w:jc w:val="left"/>
            </w:pPr>
            <w:r>
              <w:t xml:space="preserve">Endpoint verification is stronger than some underlying numeric benchmark evidence.</w:t>
            </w:r>
          </w:p>
        </w:tc>
      </w:tr>
      <w:tr>
        <w:tc>
          <w:tcPr/>
          <w:p>
            <w:pPr>
              <w:pStyle w:val="Compact"/>
              <w:jc w:val="left"/>
            </w:pPr>
            <w:r>
              <w:t xml:space="preserve">Reporting and export infrastructure</w:t>
            </w:r>
          </w:p>
        </w:tc>
        <w:tc>
          <w:tcPr/>
          <w:p>
            <w:pPr>
              <w:pStyle w:val="Compact"/>
              <w:jc w:val="left"/>
            </w:pPr>
            <w:r>
              <w:rPr>
                <w:rStyle w:val="VerbatimChar"/>
              </w:rPr>
              <w:t xml:space="preserve">tests/test_comprehensive_modules.py</w:t>
            </w:r>
          </w:p>
        </w:tc>
        <w:tc>
          <w:tcPr/>
          <w:p>
            <w:pPr>
              <w:pStyle w:val="Compact"/>
              <w:jc w:val="left"/>
            </w:pPr>
            <w:r>
              <w:t xml:space="preserve">Statistical helper behavior and parts of the broader reporting surface.</w:t>
            </w:r>
          </w:p>
        </w:tc>
        <w:tc>
          <w:tcPr/>
          <w:p>
            <w:pPr>
              <w:pStyle w:val="Compact"/>
              <w:jc w:val="left"/>
            </w:pPr>
            <w:r>
              <w:t xml:space="preserve">Supports the claim that reporting-related utilities are software-backed rather than ad hoc.</w:t>
            </w:r>
          </w:p>
        </w:tc>
        <w:tc>
          <w:tcPr/>
          <w:p>
            <w:pPr>
              <w:pStyle w:val="Compact"/>
              <w:jc w:val="left"/>
            </w:pPr>
            <w:r>
              <w:t xml:space="preserve">Should not be framed as validation of every downstream analytic interpretation.</w:t>
            </w:r>
          </w:p>
        </w:tc>
      </w:tr>
    </w:tbl>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2026-04-29T16:49:46Z</dcterms:created>
  <dcterms:modified xsi:type="dcterms:W3CDTF">2026-04-29T16:49:46Z</dcterms:modified>
</cp:coreProperties>
</file>

<file path=docProps/custom.xml><?xml version="1.0" encoding="utf-8"?>
<Properties xmlns="http://schemas.openxmlformats.org/officeDocument/2006/custom-properties" xmlns:vt="http://schemas.openxmlformats.org/officeDocument/2006/docPropsVTypes"/>
</file>