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f6bb2f529ed33ed9e7cec394c13e6248aafd181"/>
    <w:p>
      <w:pPr>
        <w:pStyle w:val="Heading1"/>
      </w:pPr>
      <w:r>
        <w:t xml:space="preserve">Suggested Reviewers — Applied Ergonomics submission</w:t>
      </w:r>
    </w:p>
    <w:p>
      <w:pPr>
        <w:pStyle w:val="FirstParagraph"/>
      </w:pPr>
      <w:r>
        <w:t xml:space="preserve">Five candidates with verified institutional emails (verification sources cited inline). All meet the journal’s reviewer criteria: not co-authored with Diego L. Malpica or Ingrid X. Bejarano in the last 3 years, not currently affiliated with the Colombian Aerospace Force, not on the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 </w:t>
      </w:r>
      <w:r>
        <w:t xml:space="preserve">editorial board (re-verify against the journal’s online editorial-board page at submission time), and geographic spread (USA, France, USA, Australia, Australia).</w:t>
      </w:r>
    </w:p>
    <w:p>
      <w:pPr>
        <w:pStyle w:val="BlockText"/>
      </w:pPr>
      <w:r>
        <w:rPr>
          <w:bCs/>
          <w:b/>
        </w:rPr>
        <w:t xml:space="preserve">Action at portal time:</w:t>
      </w:r>
      <w:r>
        <w:t xml:space="preserve"> </w:t>
      </w:r>
      <w:r>
        <w:t xml:space="preserve">confirm each address still resolves, paste into the</w:t>
      </w:r>
      <w:r>
        <w:t xml:space="preserve"> </w:t>
      </w:r>
      <w:r>
        <w:rPr>
          <w:iCs/>
          <w:i/>
        </w:rPr>
        <w:t xml:space="preserve">Suggested Reviewers</w:t>
      </w:r>
      <w:r>
        <w:t xml:space="preserve"> </w:t>
      </w:r>
      <w:r>
        <w:t xml:space="preserve">fields in Editorial Manager, and append the rationale text to the cover letter or the dedicated portal field.</w:t>
      </w:r>
    </w:p>
    <w:p>
      <w:r>
        <w:pict>
          <v:rect style="width:0;height:1.5pt" o:hralign="center" o:hrstd="t" o:hr="t"/>
        </w:pict>
      </w:r>
    </w:p>
    <w:bookmarkStart w:id="20" w:name="christopher-a.-stevens-phd"/>
    <w:p>
      <w:pPr>
        <w:pStyle w:val="Heading2"/>
      </w:pPr>
      <w:r>
        <w:t xml:space="preserve">1. Christopher A. Stevens,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711th Human Performance Wing, Air Force Research Laboratory (AFRL), Wright-Patterson AFB, Dayton, Ohio,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christopher.stevens.28@us.af.mil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ORCID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https://scholar.google.com/citations?user=qkzZwfwAAAAJ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NRC RAP advisor listing —</w:t>
            </w:r>
            <w:r>
              <w:t xml:space="preserve"> </w:t>
            </w:r>
            <w:r>
              <w:rPr>
                <w:rStyle w:val="VerbatimChar"/>
              </w:rPr>
              <w:t xml:space="preserve">https://ra.nas.edu/RAPLab10/Opportunity/opportunity.aspx?LabCode=13&amp;ROPCD=131502&amp;RONum=C0750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 psychologist; lead author of Stevens, Morris, Fisher, &amp; Myers (2022,</w:t>
            </w:r>
            <w:r>
              <w:t xml:space="preserve"> </w:t>
            </w:r>
            <w:r>
              <w:rPr>
                <w:iCs/>
                <w:i/>
              </w:rPr>
              <w:t xml:space="preserve">Military Psychology</w:t>
            </w:r>
            <w:r>
              <w:t xml:space="preserve">) cited in §1.1 and §4.2 as the closest comparator framework — Cognitive Metrics Profiling for unmanned-vehicle workload.</w:t>
            </w:r>
          </w:p>
        </w:tc>
      </w:tr>
    </w:tbl>
    <w:bookmarkEnd w:id="20"/>
    <w:bookmarkStart w:id="21" w:name="frédéric-dehais-phd"/>
    <w:p>
      <w:pPr>
        <w:pStyle w:val="Heading2"/>
      </w:pPr>
      <w:r>
        <w:t xml:space="preserve">2. Frédéric Dehais,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 of Conception et Conduite des Véhicules Aéronautiques et Spatiaux, ISAE-SUPAERO, Université Fédérale de Toulouse, Toulouse, France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frederic.dehais@isae.fr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ORCID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https://pagespro.isae-supaero.fr/frederic-dehais/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Drexel University BME Affiliated Faculty page —</w:t>
            </w:r>
            <w:r>
              <w:t xml:space="preserve"> </w:t>
            </w:r>
            <w:r>
              <w:rPr>
                <w:rStyle w:val="VerbatimChar"/>
              </w:rPr>
              <w:t xml:space="preserve">https://drexel.edu/biomed/faculty/affiliated/DehaisFrederic/</w:t>
            </w:r>
            <w:r>
              <w:t xml:space="preserve"> </w:t>
            </w:r>
            <w:r>
              <w:t xml:space="preserve">(also confirmed on ISAE-SUPAERO professional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Holder of the AXA</w:t>
            </w:r>
            <w:r>
              <w:t xml:space="preserve"> </w:t>
            </w:r>
            <w:r>
              <w:t xml:space="preserve">“</w:t>
            </w:r>
            <w:r>
              <w:t xml:space="preserve">Neuroergonomics for Aviation Safety</w:t>
            </w:r>
            <w:r>
              <w:t xml:space="preserve">”</w:t>
            </w:r>
            <w:r>
              <w:t xml:space="preserve"> </w:t>
            </w:r>
            <w:r>
              <w:t xml:space="preserve">chair; co-author of Hamann et al. (2026,</w:t>
            </w:r>
            <w:r>
              <w:t xml:space="preserve"> </w:t>
            </w:r>
            <w:r>
              <w:rPr>
                <w:iCs/>
                <w:i/>
              </w:rPr>
              <w:t xml:space="preserve">Frontiers in Neuroergonomics</w:t>
            </w:r>
            <w:r>
              <w:t xml:space="preserve">) cited as the head-worn-sensing comparator in §1.3 and §4.2. World-leading expert on physiological monitoring in aviation cockpits.</w:t>
            </w:r>
          </w:p>
        </w:tc>
      </w:tr>
    </w:tbl>
    <w:bookmarkEnd w:id="21"/>
    <w:bookmarkStart w:id="22" w:name="jaime-k.-devine-phd"/>
    <w:p>
      <w:pPr>
        <w:pStyle w:val="Heading2"/>
      </w:pPr>
      <w:r>
        <w:t xml:space="preserve">3. Jaime K. Devine,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Fatigue and Performance, Institutes for Behavior Resources, 2104 Maryland Avenue, Baltimore, MD 21218,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jdevine@ibrinc.org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ORCID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https://ibrinc.org/about-ibr/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PMC corresponding-author block of Devine &amp; Hursh (2025,</w:t>
            </w:r>
            <w:r>
              <w:t xml:space="preserve"> </w:t>
            </w:r>
            <w:r>
              <w:rPr>
                <w:iCs/>
                <w:i/>
              </w:rPr>
              <w:t xml:space="preserve">Sleep Advances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https://pmc.ncbi.nlm.nih.gov/articles/PMC12640197/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 of Sleep Science at IBR (the licensee of SAFTE-FAST); first author of Devine et al. (2022,</w:t>
            </w:r>
            <w:r>
              <w:t xml:space="preserve"> </w:t>
            </w:r>
            <w:r>
              <w:rPr>
                <w:iCs/>
                <w:i/>
              </w:rPr>
              <w:t xml:space="preserve">Aerospace Medicine and Human Performance</w:t>
            </w:r>
            <w:r>
              <w:t xml:space="preserve">) cited in §1.1 as the operational-SAFTE reference. The most authoritative reviewer for the biomathematical-fatigue component of the framework.</w:t>
            </w:r>
          </w:p>
        </w:tc>
      </w:tr>
    </w:tbl>
    <w:bookmarkEnd w:id="22"/>
    <w:bookmarkStart w:id="23" w:name="oleksandra-olivia-molloy-phd"/>
    <w:p>
      <w:pPr>
        <w:pStyle w:val="Heading2"/>
      </w:pPr>
      <w:r>
        <w:t xml:space="preserve">4. Oleksandra (Olivia) Molloy, PhD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Engineering and Information Technology, UNSW Canberra (Australian Defence Force Academy), Canberra, ACT 2600, 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o.molloy@unsw.edu.au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ORCID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https://www.unsw.edu.au/staff/oleksandra-molloy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UNSW Canberra Academics &amp; Media Expert List 2023 (PDF) —</w:t>
            </w:r>
            <w:r>
              <w:t xml:space="preserve"> </w:t>
            </w:r>
            <w:r>
              <w:rPr>
                <w:rStyle w:val="VerbatimChar"/>
              </w:rPr>
              <w:t xml:space="preserve">https://www.unsw.edu.au/content/dam/pdfs/unsw-adobe-websites/canberra/2023-11-1061482038--UNSW-Media-Expert-List-2023-FA.pdf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Co-author of Li, Molloy, El-Fiqi, &amp; Eves (2025,</w:t>
            </w:r>
            <w:r>
              <w:t xml:space="preserve"> </w:t>
            </w:r>
            <w:r>
              <w:rPr>
                <w:iCs/>
                <w:i/>
              </w:rPr>
              <w:t xml:space="preserve">Drones</w:t>
            </w:r>
            <w:r>
              <w:t xml:space="preserve">) — the systematic review cited in §1.3 that explicitly identified the framework gap that this manuscript addresses. Direct expertise in UAV cognitive-load assessment.</w:t>
            </w:r>
          </w:p>
        </w:tc>
      </w:tr>
    </w:tbl>
    <w:bookmarkEnd w:id="23"/>
    <w:bookmarkStart w:id="24" w:name="hussein-a.-abbass-fieee"/>
    <w:p>
      <w:pPr>
        <w:pStyle w:val="Heading2"/>
      </w:pPr>
      <w:r>
        <w:t xml:space="preserve">5. Hussein A. Abbass, FIEEE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of Systems &amp; Computing, UNSW Canberra (Australian Defence Force Academy), Canberra, ACT 2600, Australia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h.abbass@unsw.edu.au</w:t>
            </w:r>
            <w:r>
              <w:t xml:space="preserve"> </w:t>
            </w:r>
            <w:r>
              <w:t xml:space="preserve">(alt:</w:t>
            </w:r>
            <w:r>
              <w:t xml:space="preserve"> </w:t>
            </w:r>
            <w:r>
              <w:rPr>
                <w:rStyle w:val="VerbatimChar"/>
              </w:rPr>
              <w:t xml:space="preserve">h.abbass@adfa.edu.au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ORCID /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https://www.unsw.edu.au/staff/hussein-abbass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UNSW Canberra staff profile (above) and Abbass’s authored book chapter</w:t>
            </w:r>
            <w:r>
              <w:t xml:space="preserve"> </w:t>
            </w:r>
            <w:r>
              <w:rPr>
                <w:rStyle w:val="VerbatimChar"/>
              </w:rPr>
              <w:t xml:space="preserve">https://www.cs.ubc.ca/labs/spin/sites/default/files/local_pdfs/2019_Foundations2.pdf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Senior researcher in trusted autonomy, human-swarm teaming, and shepherding for UxVs — directly relevant to the OPI’s UAS supervisory-control branch and the multi-vehicle penalty term in §2.4. Provides geographic balance with the European and US reviewers.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e96870e9f63de7b9f1dd6487b61cd48a6abfb66"/>
    <w:p>
      <w:pPr>
        <w:pStyle w:val="Heading2"/>
      </w:pPr>
      <w:r>
        <w:t xml:space="preserve">Optional alternates (drop-in if any of the above declines)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Sylvain Fleury, PhD</w:t>
      </w:r>
      <w:r>
        <w:t xml:space="preserve"> </w:t>
      </w:r>
      <w:r>
        <w:t xml:space="preserve">— LAMPA, Arts et Métiers Institute of Technology, Laval Virtual Center, France —</w:t>
      </w:r>
      <w:r>
        <w:t xml:space="preserve"> </w:t>
      </w:r>
      <w:r>
        <w:rPr>
          <w:rStyle w:val="VerbatimChar"/>
        </w:rPr>
        <w:t xml:space="preserve">sylvain.fleury@ensam.eu</w:t>
      </w:r>
      <w:r>
        <w:t xml:space="preserve"> </w:t>
      </w:r>
      <w:r>
        <w:t xml:space="preserve">(verified at</w:t>
      </w:r>
      <w:r>
        <w:t xml:space="preserve"> </w:t>
      </w:r>
      <w:r>
        <w:rPr>
          <w:rStyle w:val="VerbatimChar"/>
        </w:rPr>
        <w:t xml:space="preserve">https://artsetmetiers.fr/fr/chaire-iperform-la-performance-collaborative-les-technologies-immersives-et-les-mondes-virtuels</w:t>
      </w:r>
      <w:r>
        <w:t xml:space="preserve">). Co-author of Berthon et al. (2025,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) cited in §1.3 and §4.2 — note that Berthon herself is at Airbus Helicopters and is also an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 </w:t>
      </w:r>
      <w:r>
        <w:t xml:space="preserve">editorial board member, so propose Fleury rather than Berthon.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Steven R. Hursh, PhD</w:t>
      </w:r>
      <w:r>
        <w:t xml:space="preserve"> </w:t>
      </w:r>
      <w:r>
        <w:t xml:space="preserve">— IBR President &amp; Chief Scientist; pattern-inferred email</w:t>
      </w:r>
      <w:r>
        <w:t xml:space="preserve"> </w:t>
      </w:r>
      <w:r>
        <w:rPr>
          <w:rStyle w:val="VerbatimChar"/>
        </w:rPr>
        <w:t xml:space="preserve">shursh@ibrinc.org</w:t>
      </w:r>
      <w:r>
        <w:t xml:space="preserve"> </w:t>
      </w:r>
      <w:r>
        <w:t xml:space="preserve">(IBR uses</w:t>
      </w:r>
      <w:r>
        <w:t xml:space="preserve"> </w:t>
      </w:r>
      <w:r>
        <w:rPr>
          <w:rStyle w:val="VerbatimChar"/>
        </w:rPr>
        <w:t xml:space="preserve">{first-initial}{last-name}@ibrinc.org</w:t>
      </w:r>
      <w:r>
        <w:t xml:space="preserve"> </w:t>
      </w:r>
      <w:r>
        <w:t xml:space="preserve">~70 % of the time per</w:t>
      </w:r>
      <w:r>
        <w:t xml:space="preserve"> </w:t>
      </w:r>
      <w:r>
        <w:rPr>
          <w:rStyle w:val="VerbatimChar"/>
        </w:rPr>
        <w:t xml:space="preserve">prospeo.io/c/institutes-for-behavior-resources</w:t>
      </w:r>
      <w:r>
        <w:t xml:space="preserve">). Author of Hursh, Balkin, Miller, &amp; Eddy (2004) — the SAFTE biomathematical model that anchors the OPI fatigue component. Substitute for Devine if needed.</w:t>
      </w:r>
    </w:p>
    <w:p>
      <w:r>
        <w:pict>
          <v:rect style="width:0;height:1.5pt" o:hralign="center" o:hrstd="t" o:hr="t"/>
        </w:pict>
      </w:r>
    </w:p>
    <w:bookmarkEnd w:id="25"/>
    <w:bookmarkStart w:id="26" w:name="conflicts-to-declare-do-not-propose"/>
    <w:p>
      <w:pPr>
        <w:pStyle w:val="Heading2"/>
      </w:pPr>
      <w:r>
        <w:t xml:space="preserve">Conflicts to declare (do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propose)</w:t>
      </w:r>
    </w:p>
    <w:p>
      <w:pPr>
        <w:numPr>
          <w:ilvl w:val="0"/>
          <w:numId w:val="1002"/>
        </w:numPr>
        <w:pStyle w:val="Compact"/>
      </w:pPr>
      <w:r>
        <w:t xml:space="preserve">Anyone who has co-authored with Diego L. Malpica or Ingrid X. Bejarano in the last 3 years.</w:t>
      </w:r>
    </w:p>
    <w:p>
      <w:pPr>
        <w:numPr>
          <w:ilvl w:val="0"/>
          <w:numId w:val="1002"/>
        </w:numPr>
        <w:pStyle w:val="Compact"/>
      </w:pPr>
      <w:r>
        <w:t xml:space="preserve">Current</w:t>
      </w:r>
      <w:r>
        <w:t xml:space="preserve"> </w:t>
      </w:r>
      <w:r>
        <w:rPr>
          <w:iCs/>
          <w:i/>
        </w:rPr>
        <w:t xml:space="preserve">Applied Ergonomics</w:t>
      </w:r>
      <w:r>
        <w:t xml:space="preserve"> </w:t>
      </w:r>
      <w:r>
        <w:t xml:space="preserve">editorial-board members — re-verify before submission.</w:t>
      </w:r>
      <w:r>
        <w:t xml:space="preserve"> </w:t>
      </w:r>
      <w:r>
        <w:rPr>
          <w:bCs/>
          <w:b/>
        </w:rPr>
        <w:t xml:space="preserve">Lorrys Berthon</w:t>
      </w:r>
      <w:r>
        <w:t xml:space="preserve"> </w:t>
      </w:r>
      <w:r>
        <w:t xml:space="preserve">is already self-declared as such in Berthon et al. (2025) and is excluded.</w:t>
      </w:r>
    </w:p>
    <w:p>
      <w:pPr>
        <w:numPr>
          <w:ilvl w:val="0"/>
          <w:numId w:val="1002"/>
        </w:numPr>
        <w:pStyle w:val="Compact"/>
      </w:pPr>
      <w:r>
        <w:t xml:space="preserve">Any researcher at DIMAE, CITAE, the Colombian Aerospace Force, the Colombian Antarctic Program, or any of the corresponding author’s MD training institutions.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Geographic balance: USA (×2), France (×1), Australia (×2). Consider rotating one alternate in to add a UK or Asian seat if the editor requests broader spread.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2026-04-29T16:49:46Z</dcterms:created>
  <dcterms:modified xsi:type="dcterms:W3CDTF">2026-04-29T16:49:46Z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