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16627" w14:textId="77777777" w:rsidR="00FA6ADD" w:rsidRPr="004A2C8D" w:rsidRDefault="00000000">
      <w:pPr>
        <w:keepLines/>
        <w:spacing w:after="60"/>
        <w:jc w:val="center"/>
        <w:rPr>
          <w:lang w:val="es-CO"/>
        </w:rPr>
      </w:pPr>
      <w:r w:rsidRPr="004A2C8D">
        <w:rPr>
          <w:rFonts w:eastAsia="Times New Roman" w:cs="Times New Roman"/>
          <w:b/>
          <w:sz w:val="32"/>
          <w:lang w:val="es-CO"/>
        </w:rPr>
        <w:t>Plataforma integrada para estudiar desempeño humano en aeronaves no tripuladas con visión en primera persona</w:t>
      </w:r>
    </w:p>
    <w:p w14:paraId="5568E5B2" w14:textId="77777777" w:rsidR="00FA6ADD" w:rsidRDefault="00000000">
      <w:pPr>
        <w:keepLines/>
        <w:spacing w:after="100"/>
        <w:jc w:val="center"/>
        <w:rPr>
          <w:rFonts w:eastAsia="Times New Roman" w:cs="Times New Roman"/>
          <w:i/>
        </w:rPr>
      </w:pPr>
      <w:r>
        <w:rPr>
          <w:rFonts w:eastAsia="Times New Roman" w:cs="Times New Roman"/>
          <w:i/>
        </w:rPr>
        <w:t xml:space="preserve">Integrated platform for studying human performance in </w:t>
      </w:r>
      <w:proofErr w:type="gramStart"/>
      <w:r>
        <w:rPr>
          <w:rFonts w:eastAsia="Times New Roman" w:cs="Times New Roman"/>
          <w:i/>
        </w:rPr>
        <w:t>first-person</w:t>
      </w:r>
      <w:proofErr w:type="gramEnd"/>
      <w:r>
        <w:rPr>
          <w:rFonts w:eastAsia="Times New Roman" w:cs="Times New Roman"/>
          <w:i/>
        </w:rPr>
        <w:t>-view uncrewed aircraft operations</w:t>
      </w:r>
    </w:p>
    <w:p w14:paraId="5F70EEBA" w14:textId="6D1C9DCC" w:rsidR="002766EF" w:rsidRPr="002766EF" w:rsidRDefault="002766EF" w:rsidP="002766EF">
      <w:pPr>
        <w:keepLines/>
        <w:spacing w:after="80"/>
        <w:jc w:val="center"/>
        <w:rPr>
          <w:lang w:val="es-CO"/>
        </w:rPr>
      </w:pPr>
      <w:r>
        <w:rPr>
          <w:rFonts w:eastAsia="Times New Roman" w:cs="Times New Roman"/>
          <w:i/>
          <w:sz w:val="18"/>
          <w:lang w:val="es-CO"/>
        </w:rPr>
        <w:t>A</w:t>
      </w:r>
      <w:r w:rsidRPr="004A2C8D">
        <w:rPr>
          <w:rFonts w:eastAsia="Times New Roman" w:cs="Times New Roman"/>
          <w:i/>
          <w:sz w:val="18"/>
          <w:lang w:val="es-CO"/>
        </w:rPr>
        <w:t>rtículo de investigación científica y tecnológica</w:t>
      </w:r>
      <w:r>
        <w:rPr>
          <w:rFonts w:eastAsia="Times New Roman" w:cs="Times New Roman"/>
          <w:i/>
          <w:sz w:val="18"/>
          <w:lang w:val="es-CO"/>
        </w:rPr>
        <w:t xml:space="preserve">, </w:t>
      </w:r>
      <w:r w:rsidRPr="004A2C8D">
        <w:rPr>
          <w:rFonts w:eastAsia="Times New Roman" w:cs="Times New Roman"/>
          <w:i/>
          <w:sz w:val="18"/>
          <w:lang w:val="es-CO"/>
        </w:rPr>
        <w:t xml:space="preserve"> dominio aeroespacial y defensa estratégica — seguridad operacional, factores humanos y UAV.</w:t>
      </w:r>
    </w:p>
    <w:p w14:paraId="3440BD80" w14:textId="77777777" w:rsidR="00FA6ADD" w:rsidRPr="004A2C8D" w:rsidRDefault="00000000">
      <w:pPr>
        <w:keepLines/>
        <w:spacing w:after="20"/>
        <w:jc w:val="center"/>
        <w:rPr>
          <w:lang w:val="es-CO"/>
        </w:rPr>
      </w:pPr>
      <w:r w:rsidRPr="004A2C8D">
        <w:rPr>
          <w:rFonts w:eastAsia="Times New Roman" w:cs="Times New Roman"/>
          <w:b/>
          <w:lang w:val="es-CO"/>
        </w:rPr>
        <w:t>Diego Leonel Malpica Hincapié</w:t>
      </w:r>
    </w:p>
    <w:p w14:paraId="32B29731" w14:textId="77777777" w:rsidR="00FA6ADD" w:rsidRPr="004A2C8D" w:rsidRDefault="00000000">
      <w:pPr>
        <w:keepLines/>
        <w:jc w:val="center"/>
        <w:rPr>
          <w:lang w:val="es-CO"/>
        </w:rPr>
      </w:pPr>
      <w:r w:rsidRPr="004A2C8D">
        <w:rPr>
          <w:rFonts w:eastAsia="Times New Roman" w:cs="Times New Roman"/>
          <w:lang w:val="es-CO"/>
        </w:rPr>
        <w:t>Fuerza Aeroespacial Colombiana, Bogotá, Colombia</w:t>
      </w:r>
    </w:p>
    <w:p w14:paraId="241D382D" w14:textId="77777777" w:rsidR="004A2C8D" w:rsidRPr="004A2C8D" w:rsidRDefault="004A2C8D" w:rsidP="004A2C8D">
      <w:pPr>
        <w:spacing w:after="20"/>
        <w:jc w:val="center"/>
        <w:rPr>
          <w:lang w:val="es-CO"/>
        </w:rPr>
      </w:pPr>
      <w:r w:rsidRPr="004A2C8D">
        <w:rPr>
          <w:b/>
          <w:lang w:val="es-CO"/>
        </w:rPr>
        <w:t>ORCID:</w:t>
      </w:r>
      <w:r w:rsidRPr="004A2C8D">
        <w:rPr>
          <w:lang w:val="es-CO"/>
        </w:rPr>
        <w:t xml:space="preserve"> </w:t>
      </w:r>
      <w:hyperlink r:id="rId8" w:history="1">
        <w:r w:rsidRPr="004A2C8D">
          <w:rPr>
            <w:rStyle w:val="Hyperlink"/>
            <w:lang w:val="es-CO"/>
          </w:rPr>
          <w:t>0000-0002-2257-4940</w:t>
        </w:r>
      </w:hyperlink>
    </w:p>
    <w:p w14:paraId="5DB92D9A" w14:textId="77777777" w:rsidR="004A2C8D" w:rsidRDefault="004A2C8D">
      <w:pPr>
        <w:keepLines/>
        <w:spacing w:after="80"/>
        <w:jc w:val="center"/>
        <w:rPr>
          <w:rFonts w:eastAsia="Times New Roman" w:cs="Times New Roman"/>
          <w:i/>
          <w:sz w:val="18"/>
          <w:lang w:val="es-CO"/>
        </w:rPr>
      </w:pPr>
      <w:r w:rsidRPr="004A2C8D">
        <w:rPr>
          <w:b/>
          <w:lang w:val="es-CO"/>
        </w:rPr>
        <w:t>Correo de correspondencia:</w:t>
      </w:r>
      <w:r w:rsidRPr="004A2C8D">
        <w:rPr>
          <w:lang w:val="es-CO"/>
        </w:rPr>
        <w:t xml:space="preserve"> diego.malpica@fac.mil.co</w:t>
      </w:r>
      <w:r w:rsidRPr="004A2C8D">
        <w:rPr>
          <w:rFonts w:eastAsia="Times New Roman" w:cs="Times New Roman"/>
          <w:i/>
          <w:sz w:val="18"/>
          <w:lang w:val="es-CO"/>
        </w:rPr>
        <w:t xml:space="preserve"> </w:t>
      </w:r>
    </w:p>
    <w:p w14:paraId="2DE25389" w14:textId="77777777" w:rsidR="00FA6ADD" w:rsidRPr="004A2C8D" w:rsidRDefault="00000000">
      <w:pPr>
        <w:keepNext/>
        <w:spacing w:before="40" w:after="20"/>
        <w:rPr>
          <w:lang w:val="es-CO"/>
        </w:rPr>
      </w:pPr>
      <w:r w:rsidRPr="004A2C8D">
        <w:rPr>
          <w:rFonts w:eastAsia="Times New Roman" w:cs="Times New Roman"/>
          <w:b/>
          <w:lang w:val="es-CO"/>
        </w:rPr>
        <w:t>Resumen</w:t>
      </w:r>
    </w:p>
    <w:p w14:paraId="5EAB7BF2" w14:textId="351AB235" w:rsidR="00FA6ADD" w:rsidRPr="004A2C8D" w:rsidRDefault="00000000">
      <w:pPr>
        <w:spacing w:after="60"/>
        <w:jc w:val="both"/>
        <w:rPr>
          <w:lang w:val="es-CO"/>
        </w:rPr>
      </w:pPr>
      <w:r w:rsidRPr="004A2C8D">
        <w:rPr>
          <w:rFonts w:eastAsia="Times New Roman" w:cs="Times New Roman"/>
          <w:i/>
          <w:lang w:val="es-CO"/>
        </w:rPr>
        <w:t xml:space="preserve">La operación de sistemas de aeronaves no tripuladas pequeñas con visión en primera persona exige integrar control manual, atención distribuida, vigilancia, comunicaciones, conciencia situacional y regulación de la carga mental. Las variantes tradicionales de la Batería de Tareas de Atributos Múltiples ofrecen un entorno controlado para estudiar multitarea, pero no incorporan de forma nativa el desempeño manual de vuelo en primera persona dentro de un flujo longitudinal con fisiología y trazabilidad experimental. El objetivo fue describir y evaluar la fase concluida de diseño e integración tecnológica de una plataforma orientada a factores humanos en operadores de aeronaves no tripuladas. Se realizó una auditoría estática del repositorio congelado al 3 de septiembre de 2026, un mapeo de constructos, una comparación con las versiones de la NASA, la Fuerza Aérea de Estados Unidos, </w:t>
      </w:r>
      <w:proofErr w:type="spellStart"/>
      <w:r w:rsidRPr="004A2C8D">
        <w:rPr>
          <w:rFonts w:eastAsia="Times New Roman" w:cs="Times New Roman"/>
          <w:i/>
          <w:lang w:val="es-CO"/>
        </w:rPr>
        <w:t>OpenMATB</w:t>
      </w:r>
      <w:proofErr w:type="spellEnd"/>
      <w:r w:rsidRPr="004A2C8D">
        <w:rPr>
          <w:rFonts w:eastAsia="Times New Roman" w:cs="Times New Roman"/>
          <w:i/>
          <w:lang w:val="es-CO"/>
        </w:rPr>
        <w:t xml:space="preserve"> y el laboratorio aeromédico del Ejército de Estados Unidos, y una revisión de las compuertas de calificación científica. La plataforma articula </w:t>
      </w:r>
      <w:proofErr w:type="spellStart"/>
      <w:r w:rsidRPr="004A2C8D">
        <w:rPr>
          <w:rFonts w:eastAsia="Times New Roman" w:cs="Times New Roman"/>
          <w:i/>
          <w:lang w:val="es-CO"/>
        </w:rPr>
        <w:t>OpenMATB</w:t>
      </w:r>
      <w:proofErr w:type="spellEnd"/>
      <w:r w:rsidRPr="004A2C8D">
        <w:rPr>
          <w:rFonts w:eastAsia="Times New Roman" w:cs="Times New Roman"/>
          <w:i/>
          <w:lang w:val="es-CO"/>
        </w:rPr>
        <w:t xml:space="preserve"> localizado al español aeronáutico, telemetría local del simulador Liftoff, una misión sintética de supervisión de aeronaves no tripuladas, escalas de carga, sondas de conciencia situacional, captura fisiológica con Polar H10 y análisis longitudinal con procedencia verificable. Su innovación principal reside en conectar mediciones complementarias sin reducirlas a un puntaje único. La verificación de software no demuestra aún calibración psicométrica, confiabilidad, transferencia al vuelo real ni utilidad para decisiones operacionales; estas etapas </w:t>
      </w:r>
      <w:r w:rsidR="00077562">
        <w:rPr>
          <w:rFonts w:eastAsia="Times New Roman" w:cs="Times New Roman"/>
          <w:i/>
          <w:lang w:val="es-CO"/>
        </w:rPr>
        <w:t>se harán en</w:t>
      </w:r>
      <w:r w:rsidRPr="004A2C8D">
        <w:rPr>
          <w:rFonts w:eastAsia="Times New Roman" w:cs="Times New Roman"/>
          <w:i/>
          <w:lang w:val="es-CO"/>
        </w:rPr>
        <w:t xml:space="preserve"> estudios humanos prospectivos y calificación física del sistema.</w:t>
      </w:r>
    </w:p>
    <w:p w14:paraId="73BED032" w14:textId="77777777" w:rsidR="00FA6ADD" w:rsidRPr="004A2C8D" w:rsidRDefault="00000000">
      <w:pPr>
        <w:spacing w:after="80"/>
        <w:jc w:val="both"/>
        <w:rPr>
          <w:lang w:val="es-CO"/>
        </w:rPr>
      </w:pPr>
      <w:r w:rsidRPr="004A2C8D">
        <w:rPr>
          <w:rFonts w:eastAsia="Times New Roman" w:cs="Times New Roman"/>
          <w:b/>
          <w:i/>
          <w:lang w:val="es-CO"/>
        </w:rPr>
        <w:t>Palabras clave—</w:t>
      </w:r>
      <w:r w:rsidRPr="004A2C8D">
        <w:rPr>
          <w:rFonts w:eastAsia="Times New Roman" w:cs="Times New Roman"/>
          <w:i/>
          <w:lang w:val="es-CO"/>
        </w:rPr>
        <w:t>carga mental, desempeño humano, factores humanos, simulación, sistemas de aeronaves no tripuladas, visión en primera persona.</w:t>
      </w:r>
    </w:p>
    <w:p w14:paraId="7A4613D5" w14:textId="77777777" w:rsidR="00FA6ADD" w:rsidRDefault="00000000">
      <w:pPr>
        <w:keepNext/>
        <w:spacing w:before="40" w:after="20"/>
      </w:pPr>
      <w:r>
        <w:rPr>
          <w:rFonts w:eastAsia="Times New Roman" w:cs="Times New Roman"/>
          <w:b/>
        </w:rPr>
        <w:t>Abstract</w:t>
      </w:r>
    </w:p>
    <w:p w14:paraId="6D73D461" w14:textId="63C21A91" w:rsidR="00FA6ADD" w:rsidRDefault="00000000">
      <w:pPr>
        <w:spacing w:after="60"/>
        <w:jc w:val="both"/>
      </w:pPr>
      <w:r>
        <w:rPr>
          <w:rFonts w:eastAsia="Times New Roman" w:cs="Times New Roman"/>
          <w:i/>
        </w:rPr>
        <w:t>First-person-view</w:t>
      </w:r>
      <w:r w:rsidR="005D7C39">
        <w:rPr>
          <w:rFonts w:eastAsia="Times New Roman" w:cs="Times New Roman"/>
          <w:i/>
        </w:rPr>
        <w:t xml:space="preserve"> </w:t>
      </w:r>
      <w:r>
        <w:rPr>
          <w:rFonts w:eastAsia="Times New Roman" w:cs="Times New Roman"/>
          <w:i/>
        </w:rPr>
        <w:t>small uncrewed aircraft operations require the integration of manual control, distributed attention, vigilance, communications, situation awareness, and mental-workload regulation. Traditional Multi-Attribute Task Battery variants provide controlled multitasking environments, but they do not natively place manual first-person-view flight performance within a longitudinal workflow that also includes physiology and auditable experimental provenance. This study describes and evaluates the completed technology-design and integration phase of a human-factors platform for uncrewed-aircraft operators. A static audit of the repository frozen on September 3, 2026, was combined with construct mapping, comparison with NASA, United States Air Force, OpenMATB, and United States Army Aeromedical Research Laboratory variants, and review of its scientific qualification gates. The platform links an aviation-Spanish OpenMATB environment, local Liftoff simulator telemetry, a synthetic supervisory small-uncrewed-aircraft mission, workload scales, situation-awareness probes, Polar H10 physiology, and provenance-aware longitudinal analysis. Its main technological contribution is the coordinated measurement of distinct human-performance domains without collapsing them into a single pilot score. Software verification does not yet establish psychometric calibration, test–retest reliability, transfer to real flight, or suitability for operational decisions. Those claims require prospective human studies, physical timing qualification, and direct criterion-validation evidence.</w:t>
      </w:r>
    </w:p>
    <w:p w14:paraId="0FA76CC6" w14:textId="77777777" w:rsidR="00FA6ADD" w:rsidRDefault="00000000">
      <w:pPr>
        <w:spacing w:after="100"/>
        <w:jc w:val="both"/>
      </w:pPr>
      <w:r>
        <w:rPr>
          <w:rFonts w:eastAsia="Times New Roman" w:cs="Times New Roman"/>
          <w:b/>
          <w:i/>
        </w:rPr>
        <w:t>Keywords—</w:t>
      </w:r>
      <w:r>
        <w:rPr>
          <w:rFonts w:eastAsia="Times New Roman" w:cs="Times New Roman"/>
          <w:i/>
        </w:rPr>
        <w:t>first-person view, human factors, human performance, mental workload, simulation, small unmanned aircraft systems.</w:t>
      </w:r>
    </w:p>
    <w:p w14:paraId="2504B230" w14:textId="77777777" w:rsidR="00FA6ADD" w:rsidRPr="004A2C8D" w:rsidRDefault="00000000">
      <w:pPr>
        <w:pStyle w:val="Heading1"/>
        <w:spacing w:before="120" w:after="40"/>
        <w:rPr>
          <w:lang w:val="es-CO"/>
        </w:rPr>
      </w:pPr>
      <w:r w:rsidRPr="004A2C8D">
        <w:rPr>
          <w:rFonts w:ascii="Times New Roman" w:eastAsia="Times New Roman" w:hAnsi="Times New Roman" w:cs="Times New Roman"/>
          <w:sz w:val="20"/>
          <w:lang w:val="es-CO"/>
        </w:rPr>
        <w:t>1. Introducción</w:t>
      </w:r>
    </w:p>
    <w:p w14:paraId="40348F23" w14:textId="77777777" w:rsidR="00FA6ADD" w:rsidRPr="004A2C8D" w:rsidRDefault="00000000">
      <w:pPr>
        <w:spacing w:after="40"/>
        <w:ind w:firstLine="283"/>
        <w:jc w:val="both"/>
        <w:rPr>
          <w:lang w:val="es-CO"/>
        </w:rPr>
      </w:pPr>
      <w:r w:rsidRPr="004A2C8D">
        <w:rPr>
          <w:rFonts w:eastAsia="Times New Roman" w:cs="Times New Roman"/>
          <w:lang w:val="es-CO"/>
        </w:rPr>
        <w:t>Los sistemas de aeronaves no tripuladas pequeñas (</w:t>
      </w:r>
      <w:proofErr w:type="spellStart"/>
      <w:r w:rsidRPr="004A2C8D">
        <w:rPr>
          <w:rFonts w:eastAsia="Times New Roman" w:cs="Times New Roman"/>
          <w:lang w:val="es-CO"/>
        </w:rPr>
        <w:t>small</w:t>
      </w:r>
      <w:proofErr w:type="spellEnd"/>
      <w:r w:rsidRPr="004A2C8D">
        <w:rPr>
          <w:rFonts w:eastAsia="Times New Roman" w:cs="Times New Roman"/>
          <w:lang w:val="es-CO"/>
        </w:rPr>
        <w:t xml:space="preserve"> </w:t>
      </w:r>
      <w:proofErr w:type="spellStart"/>
      <w:r w:rsidRPr="004A2C8D">
        <w:rPr>
          <w:rFonts w:eastAsia="Times New Roman" w:cs="Times New Roman"/>
          <w:lang w:val="es-CO"/>
        </w:rPr>
        <w:t>unmanned</w:t>
      </w:r>
      <w:proofErr w:type="spellEnd"/>
      <w:r w:rsidRPr="004A2C8D">
        <w:rPr>
          <w:rFonts w:eastAsia="Times New Roman" w:cs="Times New Roman"/>
          <w:lang w:val="es-CO"/>
        </w:rPr>
        <w:t xml:space="preserve"> </w:t>
      </w:r>
      <w:proofErr w:type="spellStart"/>
      <w:r w:rsidRPr="004A2C8D">
        <w:rPr>
          <w:rFonts w:eastAsia="Times New Roman" w:cs="Times New Roman"/>
          <w:lang w:val="es-CO"/>
        </w:rPr>
        <w:t>aircraft</w:t>
      </w:r>
      <w:proofErr w:type="spellEnd"/>
      <w:r w:rsidRPr="004A2C8D">
        <w:rPr>
          <w:rFonts w:eastAsia="Times New Roman" w:cs="Times New Roman"/>
          <w:lang w:val="es-CO"/>
        </w:rPr>
        <w:t xml:space="preserve"> </w:t>
      </w:r>
      <w:proofErr w:type="spellStart"/>
      <w:r w:rsidRPr="004A2C8D">
        <w:rPr>
          <w:rFonts w:eastAsia="Times New Roman" w:cs="Times New Roman"/>
          <w:lang w:val="es-CO"/>
        </w:rPr>
        <w:t>systems</w:t>
      </w:r>
      <w:proofErr w:type="spellEnd"/>
      <w:r w:rsidRPr="004A2C8D">
        <w:rPr>
          <w:rFonts w:eastAsia="Times New Roman" w:cs="Times New Roman"/>
          <w:lang w:val="es-CO"/>
        </w:rPr>
        <w:t xml:space="preserve">, </w:t>
      </w:r>
      <w:proofErr w:type="spellStart"/>
      <w:r w:rsidRPr="004A2C8D">
        <w:rPr>
          <w:rFonts w:eastAsia="Times New Roman" w:cs="Times New Roman"/>
          <w:lang w:val="es-CO"/>
        </w:rPr>
        <w:t>sUAS</w:t>
      </w:r>
      <w:proofErr w:type="spellEnd"/>
      <w:r w:rsidRPr="004A2C8D">
        <w:rPr>
          <w:rFonts w:eastAsia="Times New Roman" w:cs="Times New Roman"/>
          <w:lang w:val="es-CO"/>
        </w:rPr>
        <w:t>) operados mediante visión en primera persona (</w:t>
      </w:r>
      <w:proofErr w:type="spellStart"/>
      <w:r w:rsidRPr="004A2C8D">
        <w:rPr>
          <w:rFonts w:eastAsia="Times New Roman" w:cs="Times New Roman"/>
          <w:lang w:val="es-CO"/>
        </w:rPr>
        <w:t>first-person</w:t>
      </w:r>
      <w:proofErr w:type="spellEnd"/>
      <w:r w:rsidRPr="004A2C8D">
        <w:rPr>
          <w:rFonts w:eastAsia="Times New Roman" w:cs="Times New Roman"/>
          <w:lang w:val="es-CO"/>
        </w:rPr>
        <w:t xml:space="preserve"> </w:t>
      </w:r>
      <w:proofErr w:type="spellStart"/>
      <w:r w:rsidRPr="004A2C8D">
        <w:rPr>
          <w:rFonts w:eastAsia="Times New Roman" w:cs="Times New Roman"/>
          <w:lang w:val="es-CO"/>
        </w:rPr>
        <w:t>view</w:t>
      </w:r>
      <w:proofErr w:type="spellEnd"/>
      <w:r w:rsidRPr="004A2C8D">
        <w:rPr>
          <w:rFonts w:eastAsia="Times New Roman" w:cs="Times New Roman"/>
          <w:lang w:val="es-CO"/>
        </w:rPr>
        <w:t xml:space="preserve">, FPV) trasladan al puesto de control una combinación exigente de percepción visual, coordinación </w:t>
      </w:r>
      <w:proofErr w:type="spellStart"/>
      <w:r w:rsidRPr="004A2C8D">
        <w:rPr>
          <w:rFonts w:eastAsia="Times New Roman" w:cs="Times New Roman"/>
          <w:lang w:val="es-CO"/>
        </w:rPr>
        <w:t>visuomotora</w:t>
      </w:r>
      <w:proofErr w:type="spellEnd"/>
      <w:r w:rsidRPr="004A2C8D">
        <w:rPr>
          <w:rFonts w:eastAsia="Times New Roman" w:cs="Times New Roman"/>
          <w:lang w:val="es-CO"/>
        </w:rPr>
        <w:t>, anticipación espacial, monitoreo de la energía, gestión de comunicaciones y toma de decisiones. La perspectiva FPV puede mejorar la precisión del control y el acceso a espacios complejos, pero también restringe la información periférica, aumenta la dependencia de la interfaz y expone al operador a desorientación, latencia, pérdidas de enlace y sobrecarga atencional. Por ello, el rendimiento no puede describirse únicamente mediante el tiempo de una vuelta o la finalización de una misión: requiere observar, de manera simultánea, la ejecución manual, la distribución de la atención, la conciencia situacional y el estado psicofisiológico [1], [2].</w:t>
      </w:r>
    </w:p>
    <w:p w14:paraId="3B64184B" w14:textId="77777777" w:rsidR="00FA6ADD" w:rsidRPr="004A2C8D" w:rsidRDefault="00000000">
      <w:pPr>
        <w:spacing w:after="40"/>
        <w:ind w:firstLine="283"/>
        <w:jc w:val="both"/>
        <w:rPr>
          <w:lang w:val="es-CO"/>
        </w:rPr>
      </w:pPr>
      <w:r w:rsidRPr="004A2C8D">
        <w:rPr>
          <w:rFonts w:eastAsia="Times New Roman" w:cs="Times New Roman"/>
          <w:lang w:val="es-CO"/>
        </w:rPr>
        <w:t xml:space="preserve">Esta necesidad es especialmente relevante en formación y operaciones militares, donde un operador puede pilotar, interpretar video, reconocer alertas, coordinarse con otros miembros del equipo y mantener reglas de </w:t>
      </w:r>
      <w:r w:rsidRPr="004A2C8D">
        <w:rPr>
          <w:rFonts w:eastAsia="Times New Roman" w:cs="Times New Roman"/>
          <w:lang w:val="es-CO"/>
        </w:rPr>
        <w:lastRenderedPageBreak/>
        <w:t xml:space="preserve">seguridad bajo presión temporal. Los programas de entrenamiento de </w:t>
      </w:r>
      <w:proofErr w:type="spellStart"/>
      <w:r w:rsidRPr="004A2C8D">
        <w:rPr>
          <w:rFonts w:eastAsia="Times New Roman" w:cs="Times New Roman"/>
          <w:lang w:val="es-CO"/>
        </w:rPr>
        <w:t>sUAS</w:t>
      </w:r>
      <w:proofErr w:type="spellEnd"/>
      <w:r w:rsidRPr="004A2C8D">
        <w:rPr>
          <w:rFonts w:eastAsia="Times New Roman" w:cs="Times New Roman"/>
          <w:lang w:val="es-CO"/>
        </w:rPr>
        <w:t xml:space="preserve"> han comenzado a incorporar tareas de atención dividida y circuitos estandarizados, mientras que estudios de simulación muestran que la capacidad multitarea, la experiencia previa con videojuegos y la práctica deliberada se relacionan con diferencias de desempeño y carga percibida [3]–[5]. Sin embargo, estas asociaciones no convierten una métrica aislada en una prueba de aptitud operacional ni permiten inferir transferencia al vuelo real sin validación específica.</w:t>
      </w:r>
    </w:p>
    <w:p w14:paraId="0A04C247" w14:textId="77777777" w:rsidR="00FA6ADD" w:rsidRPr="004A2C8D" w:rsidRDefault="00000000">
      <w:pPr>
        <w:spacing w:after="40"/>
        <w:ind w:firstLine="283"/>
        <w:jc w:val="both"/>
        <w:rPr>
          <w:lang w:val="es-CO"/>
        </w:rPr>
      </w:pPr>
      <w:r w:rsidRPr="004A2C8D">
        <w:rPr>
          <w:rFonts w:eastAsia="Times New Roman" w:cs="Times New Roman"/>
          <w:lang w:val="es-CO"/>
        </w:rPr>
        <w:t xml:space="preserve">La literatura emergente sobre aprendizaje FPV identifica curvas de adquisición, estrategias de exploración, diferencias entre expertos y novatos y métricas de trayectoria o control que pueden registrar cambios longitudinales. Se han propuesto como indicadores el número de vueltas válidas, los tiempos mediano y óptimo, la proporción de finalización, la frecuencia de colisiones, la consistencia </w:t>
      </w:r>
      <w:proofErr w:type="spellStart"/>
      <w:r w:rsidRPr="004A2C8D">
        <w:rPr>
          <w:rFonts w:eastAsia="Times New Roman" w:cs="Times New Roman"/>
          <w:lang w:val="es-CO"/>
        </w:rPr>
        <w:t>intra-sesión</w:t>
      </w:r>
      <w:proofErr w:type="spellEnd"/>
      <w:r w:rsidRPr="004A2C8D">
        <w:rPr>
          <w:rFonts w:eastAsia="Times New Roman" w:cs="Times New Roman"/>
          <w:lang w:val="es-CO"/>
        </w:rPr>
        <w:t>, la distancia a una trayectoria de referencia y la actividad de los mandos [6]–[16]. No obstante, estas variables describen principalmente destreza de control. Una mejora en velocidad puede coexistir con mayor carga mental, pérdida de vigilancia o menor conciencia de la situación; por tanto, su interpretación exige medidas convergentes y un diseño que preserve cada constructo por separado.</w:t>
      </w:r>
    </w:p>
    <w:p w14:paraId="739DC6C7" w14:textId="77777777" w:rsidR="00FA6ADD" w:rsidRPr="004A2C8D" w:rsidRDefault="00000000">
      <w:pPr>
        <w:spacing w:after="40"/>
        <w:ind w:firstLine="283"/>
        <w:jc w:val="both"/>
        <w:rPr>
          <w:lang w:val="es-CO"/>
        </w:rPr>
      </w:pPr>
      <w:r w:rsidRPr="004A2C8D">
        <w:rPr>
          <w:rFonts w:eastAsia="Times New Roman" w:cs="Times New Roman"/>
          <w:lang w:val="es-CO"/>
        </w:rPr>
        <w:t>La Batería de Tareas de Atributos Múltiples (Multi-</w:t>
      </w:r>
      <w:proofErr w:type="spellStart"/>
      <w:r w:rsidRPr="004A2C8D">
        <w:rPr>
          <w:rFonts w:eastAsia="Times New Roman" w:cs="Times New Roman"/>
          <w:lang w:val="es-CO"/>
        </w:rPr>
        <w:t>Attribute</w:t>
      </w:r>
      <w:proofErr w:type="spellEnd"/>
      <w:r w:rsidRPr="004A2C8D">
        <w:rPr>
          <w:rFonts w:eastAsia="Times New Roman" w:cs="Times New Roman"/>
          <w:lang w:val="es-CO"/>
        </w:rPr>
        <w:t xml:space="preserve"> </w:t>
      </w:r>
      <w:proofErr w:type="spellStart"/>
      <w:r w:rsidRPr="004A2C8D">
        <w:rPr>
          <w:rFonts w:eastAsia="Times New Roman" w:cs="Times New Roman"/>
          <w:lang w:val="es-CO"/>
        </w:rPr>
        <w:t>Task</w:t>
      </w:r>
      <w:proofErr w:type="spellEnd"/>
      <w:r w:rsidRPr="004A2C8D">
        <w:rPr>
          <w:rFonts w:eastAsia="Times New Roman" w:cs="Times New Roman"/>
          <w:lang w:val="es-CO"/>
        </w:rPr>
        <w:t xml:space="preserve"> </w:t>
      </w:r>
      <w:proofErr w:type="spellStart"/>
      <w:r w:rsidRPr="004A2C8D">
        <w:rPr>
          <w:rFonts w:eastAsia="Times New Roman" w:cs="Times New Roman"/>
          <w:lang w:val="es-CO"/>
        </w:rPr>
        <w:t>Battery</w:t>
      </w:r>
      <w:proofErr w:type="spellEnd"/>
      <w:r w:rsidRPr="004A2C8D">
        <w:rPr>
          <w:rFonts w:eastAsia="Times New Roman" w:cs="Times New Roman"/>
          <w:lang w:val="es-CO"/>
        </w:rPr>
        <w:t xml:space="preserve">, MATB) fue desarrollada por la Administración Nacional de Aeronáutica y del Espacio de Estados Unidos (NASA) para estudiar carga de trabajo, asignación de atención y estrategia del operador en un entorno semejante a una cabina. Su núcleo combina monitoreo de sistemas (SYSMON), seguimiento continuo (TRACK), comunicaciones (COMM) y gestión de recursos (RESMAN) [17]. MATB-II modernizó la ejecución y la configuración del experimento [18]. La Fuerza Aérea de Estados Unidos (USAF) creó AF-MATB con generación de escenarios, registro detallado y disparadores seriales o digitales para sincronización [19], [20]. </w:t>
      </w:r>
      <w:proofErr w:type="spellStart"/>
      <w:r w:rsidRPr="004A2C8D">
        <w:rPr>
          <w:rFonts w:eastAsia="Times New Roman" w:cs="Times New Roman"/>
          <w:lang w:val="es-CO"/>
        </w:rPr>
        <w:t>OpenMATB</w:t>
      </w:r>
      <w:proofErr w:type="spellEnd"/>
      <w:r w:rsidRPr="004A2C8D">
        <w:rPr>
          <w:rFonts w:eastAsia="Times New Roman" w:cs="Times New Roman"/>
          <w:lang w:val="es-CO"/>
        </w:rPr>
        <w:t xml:space="preserve"> priorizó la personalización, la extensibilidad y la auditabilidad del código y de los guiones experimentales [21]. Más recientemente, el Laboratorio de Investigación Aeromédica del Ejército de Estados Unidos (USAARL) incorporó variantes de subtareas, transiciones dinámicas y reasignación automatizada dependiente del desempeño [22].</w:t>
      </w:r>
    </w:p>
    <w:p w14:paraId="06DFA7D9" w14:textId="77777777" w:rsidR="00FA6ADD" w:rsidRPr="004A2C8D" w:rsidRDefault="00000000">
      <w:pPr>
        <w:spacing w:after="40"/>
        <w:ind w:firstLine="283"/>
        <w:jc w:val="both"/>
        <w:rPr>
          <w:lang w:val="es-CO"/>
        </w:rPr>
      </w:pPr>
      <w:r w:rsidRPr="004A2C8D">
        <w:rPr>
          <w:rFonts w:eastAsia="Times New Roman" w:cs="Times New Roman"/>
          <w:lang w:val="es-CO"/>
        </w:rPr>
        <w:t xml:space="preserve">Estas versiones constituyen referencias complementarias y no una jerarquía simple. NASA aporta el paradigma canónico y la mayor continuidad de uso; AF-MATB ofrece un precedente fuerte de instrumentación; </w:t>
      </w:r>
      <w:proofErr w:type="spellStart"/>
      <w:r w:rsidRPr="004A2C8D">
        <w:rPr>
          <w:rFonts w:eastAsia="Times New Roman" w:cs="Times New Roman"/>
          <w:lang w:val="es-CO"/>
        </w:rPr>
        <w:t>OpenMATB</w:t>
      </w:r>
      <w:proofErr w:type="spellEnd"/>
      <w:r w:rsidRPr="004A2C8D">
        <w:rPr>
          <w:rFonts w:eastAsia="Times New Roman" w:cs="Times New Roman"/>
          <w:lang w:val="es-CO"/>
        </w:rPr>
        <w:t xml:space="preserve"> facilita ciencia abierta y modularidad; USAARL amplía la investigación de automatización adaptativa. Las revisiones contemporáneas confirman que MATB es sensible a cambios de demanda en numerosas configuraciones, pero también documentan heterogeneidad en tasas de eventos, duraciones, entrenamiento, combinación de subtareas y métodos de puntuación. Esa variación limita la comparabilidad entre estudios y desaconseja tratar las etiquetas «baja», «media» y «alta» como niveles universales de carga [23]–[27].</w:t>
      </w:r>
    </w:p>
    <w:p w14:paraId="4D36E482" w14:textId="77777777" w:rsidR="00FA6ADD" w:rsidRPr="004A2C8D" w:rsidRDefault="00000000">
      <w:pPr>
        <w:spacing w:after="40"/>
        <w:ind w:firstLine="283"/>
        <w:jc w:val="both"/>
        <w:rPr>
          <w:lang w:val="es-CO"/>
        </w:rPr>
      </w:pPr>
      <w:r w:rsidRPr="004A2C8D">
        <w:rPr>
          <w:rFonts w:eastAsia="Times New Roman" w:cs="Times New Roman"/>
          <w:lang w:val="es-CO"/>
        </w:rPr>
        <w:t xml:space="preserve">El vacío que motiva este trabajo no es la ausencia de otra implementación de MATB, sino la falta de una plataforma que relacione el control experimental de la multitarea con una tarea manual FPV más ecológica, una misión </w:t>
      </w:r>
      <w:proofErr w:type="spellStart"/>
      <w:r w:rsidRPr="004A2C8D">
        <w:rPr>
          <w:rFonts w:eastAsia="Times New Roman" w:cs="Times New Roman"/>
          <w:lang w:val="es-CO"/>
        </w:rPr>
        <w:t>sUAS</w:t>
      </w:r>
      <w:proofErr w:type="spellEnd"/>
      <w:r w:rsidRPr="004A2C8D">
        <w:rPr>
          <w:rFonts w:eastAsia="Times New Roman" w:cs="Times New Roman"/>
          <w:lang w:val="es-CO"/>
        </w:rPr>
        <w:t xml:space="preserve"> de supervisión, medidas subjetivas, conciencia situacional, fisiología sincronizada y seguimiento longitudinal, conservando límites de inferencia explícitos. La innovación tecnológica buscada consiste en integrar dominios que suelen estudiarse por separado, sin afirmar que la integración haya demostrado todavía validez psicométrica o efectividad de entrenamiento.</w:t>
      </w:r>
    </w:p>
    <w:p w14:paraId="4DE91D4D" w14:textId="13360051" w:rsidR="00FA6ADD" w:rsidRPr="004A2C8D" w:rsidRDefault="00000000">
      <w:pPr>
        <w:spacing w:after="40"/>
        <w:ind w:firstLine="283"/>
        <w:jc w:val="both"/>
        <w:rPr>
          <w:lang w:val="es-CO"/>
        </w:rPr>
      </w:pPr>
      <w:r w:rsidRPr="004A2C8D">
        <w:rPr>
          <w:rFonts w:eastAsia="Times New Roman" w:cs="Times New Roman"/>
          <w:lang w:val="es-CO"/>
        </w:rPr>
        <w:t xml:space="preserve">El objetivo general fue describir y evaluar la fase concluida de diseño e integración de una plataforma para estudiar </w:t>
      </w:r>
      <w:r w:rsidR="00C90493" w:rsidRPr="004A2C8D">
        <w:rPr>
          <w:rFonts w:eastAsia="Times New Roman" w:cs="Times New Roman"/>
          <w:lang w:val="es-CO"/>
        </w:rPr>
        <w:t>desempeño y factores humanos</w:t>
      </w:r>
      <w:r w:rsidRPr="004A2C8D">
        <w:rPr>
          <w:rFonts w:eastAsia="Times New Roman" w:cs="Times New Roman"/>
          <w:lang w:val="es-CO"/>
        </w:rPr>
        <w:t xml:space="preserve"> en operadores </w:t>
      </w:r>
      <w:proofErr w:type="spellStart"/>
      <w:r w:rsidRPr="004A2C8D">
        <w:rPr>
          <w:rFonts w:eastAsia="Times New Roman" w:cs="Times New Roman"/>
          <w:lang w:val="es-CO"/>
        </w:rPr>
        <w:t>sUAS</w:t>
      </w:r>
      <w:proofErr w:type="spellEnd"/>
      <w:r w:rsidRPr="004A2C8D">
        <w:rPr>
          <w:rFonts w:eastAsia="Times New Roman" w:cs="Times New Roman"/>
          <w:lang w:val="es-CO"/>
        </w:rPr>
        <w:t xml:space="preserve">/FPV. Los objetivos específicos fueron: a) mapear los constructos y desenlaces disponibles; b) comparar sus capacidades con NASA MATB/MATB-II, AF-MATB, </w:t>
      </w:r>
      <w:proofErr w:type="spellStart"/>
      <w:r w:rsidRPr="004A2C8D">
        <w:rPr>
          <w:rFonts w:eastAsia="Times New Roman" w:cs="Times New Roman"/>
          <w:lang w:val="es-CO"/>
        </w:rPr>
        <w:t>OpenMATB</w:t>
      </w:r>
      <w:proofErr w:type="spellEnd"/>
      <w:r w:rsidRPr="004A2C8D">
        <w:rPr>
          <w:rFonts w:eastAsia="Times New Roman" w:cs="Times New Roman"/>
          <w:lang w:val="es-CO"/>
        </w:rPr>
        <w:t xml:space="preserve"> y USAARL MATB; c) revisar la evidencia de conformidad, sincronización, trazabilidad y seguridad científica; y d) establecer la ruta de validación humana necesaria. La pregunta principal fue: ¿la arquitectura actual ofrece una base tecnológica integrada y auditable que amplía el alcance experimental de las variantes precedentes sin exceder la evidencia disponible? Se planteó como proposición de diseño que la contribución diferencial estaría en la integración y la gobernanza de evidencia, no en sustituir ni declarar superiores las baterías institucionales.</w:t>
      </w:r>
    </w:p>
    <w:p w14:paraId="0315F728" w14:textId="77777777" w:rsidR="00FA6ADD" w:rsidRPr="004A2C8D" w:rsidRDefault="00000000">
      <w:pPr>
        <w:pStyle w:val="Heading1"/>
        <w:spacing w:before="120" w:after="40"/>
        <w:rPr>
          <w:lang w:val="es-CO"/>
        </w:rPr>
      </w:pPr>
      <w:r w:rsidRPr="004A2C8D">
        <w:rPr>
          <w:rFonts w:ascii="Times New Roman" w:eastAsia="Times New Roman" w:hAnsi="Times New Roman" w:cs="Times New Roman"/>
          <w:sz w:val="20"/>
          <w:lang w:val="es-CO"/>
        </w:rPr>
        <w:t>2. Metodología</w:t>
      </w:r>
    </w:p>
    <w:p w14:paraId="7CB76762" w14:textId="77777777" w:rsidR="00FA6ADD" w:rsidRPr="004A2C8D" w:rsidRDefault="00000000">
      <w:pPr>
        <w:pStyle w:val="Heading2"/>
        <w:spacing w:before="80" w:after="40"/>
        <w:rPr>
          <w:lang w:val="es-CO"/>
        </w:rPr>
      </w:pPr>
      <w:r w:rsidRPr="004A2C8D">
        <w:rPr>
          <w:rFonts w:ascii="Times New Roman" w:eastAsia="Times New Roman" w:hAnsi="Times New Roman" w:cs="Times New Roman"/>
          <w:sz w:val="20"/>
          <w:lang w:val="es-CO"/>
        </w:rPr>
        <w:t>2.1 Diseño, alcance y unidad de análisis</w:t>
      </w:r>
    </w:p>
    <w:p w14:paraId="2306211A" w14:textId="77777777" w:rsidR="00FA6ADD" w:rsidRPr="004A2C8D" w:rsidRDefault="00000000">
      <w:pPr>
        <w:spacing w:after="40"/>
        <w:ind w:firstLine="283"/>
        <w:jc w:val="both"/>
        <w:rPr>
          <w:lang w:val="es-CO"/>
        </w:rPr>
      </w:pPr>
      <w:r w:rsidRPr="004A2C8D">
        <w:rPr>
          <w:rFonts w:eastAsia="Times New Roman" w:cs="Times New Roman"/>
          <w:lang w:val="es-CO"/>
        </w:rPr>
        <w:t xml:space="preserve">Se realizó un estudio de investigación científica y tecnológica basado en ciencia del diseño, auditoría de software y síntesis comparativa de evidencia. La unidad de análisis fue la fase de desarrollo de la plataforma MATB </w:t>
      </w:r>
      <w:proofErr w:type="spellStart"/>
      <w:r w:rsidRPr="004A2C8D">
        <w:rPr>
          <w:rFonts w:eastAsia="Times New Roman" w:cs="Times New Roman"/>
          <w:lang w:val="es-CO"/>
        </w:rPr>
        <w:t>Research</w:t>
      </w:r>
      <w:proofErr w:type="spellEnd"/>
      <w:r w:rsidRPr="004A2C8D">
        <w:rPr>
          <w:rFonts w:eastAsia="Times New Roman" w:cs="Times New Roman"/>
          <w:lang w:val="es-CO"/>
        </w:rPr>
        <w:t xml:space="preserve"> </w:t>
      </w:r>
      <w:proofErr w:type="spellStart"/>
      <w:r w:rsidRPr="004A2C8D">
        <w:rPr>
          <w:rFonts w:eastAsia="Times New Roman" w:cs="Times New Roman"/>
          <w:lang w:val="es-CO"/>
        </w:rPr>
        <w:t>Platform</w:t>
      </w:r>
      <w:proofErr w:type="spellEnd"/>
      <w:r w:rsidRPr="004A2C8D">
        <w:rPr>
          <w:rFonts w:eastAsia="Times New Roman" w:cs="Times New Roman"/>
          <w:lang w:val="es-CO"/>
        </w:rPr>
        <w:t xml:space="preserve"> congelada en la rama principal del repositorio al </w:t>
      </w:r>
      <w:proofErr w:type="spellStart"/>
      <w:r w:rsidRPr="004A2C8D">
        <w:rPr>
          <w:rFonts w:eastAsia="Times New Roman" w:cs="Times New Roman"/>
          <w:lang w:val="es-CO"/>
        </w:rPr>
        <w:t>commit</w:t>
      </w:r>
      <w:proofErr w:type="spellEnd"/>
      <w:r w:rsidRPr="004A2C8D">
        <w:rPr>
          <w:rFonts w:eastAsia="Times New Roman" w:cs="Times New Roman"/>
          <w:lang w:val="es-CO"/>
        </w:rPr>
        <w:t xml:space="preserve"> d9f0882c6ef6, con fecha 3 de septiembre de 2026 [45]. Esta delimitación separó un producto tecnológico verificable de su evolución posterior. El estudio no incluyó participantes humanos, datos clínicos ni decisiones operacionales; por tanto, sus resultados corresponden a arquitectura, funciones implementadas, contratos de medición y evidencia de verificación disponible en el repositorio.</w:t>
      </w:r>
    </w:p>
    <w:p w14:paraId="3D30AEA6" w14:textId="77777777" w:rsidR="00FA6ADD" w:rsidRPr="004A2C8D" w:rsidRDefault="00000000">
      <w:pPr>
        <w:spacing w:after="40"/>
        <w:ind w:firstLine="283"/>
        <w:jc w:val="both"/>
        <w:rPr>
          <w:lang w:val="es-CO"/>
        </w:rPr>
      </w:pPr>
      <w:r w:rsidRPr="004A2C8D">
        <w:rPr>
          <w:rFonts w:eastAsia="Times New Roman" w:cs="Times New Roman"/>
          <w:lang w:val="es-CO"/>
        </w:rPr>
        <w:t>Se definieron cuatro categorías de afirmación antes de la revisión: 1) función implementada, cuando existía código, interfaz o esquema correspondiente; 2) conformidad de software, cuando la función disponía de pruebas, oráculos, reproducción determinista o validación de esquema; 3) calificación del sistema, reservada para evidencia física del equipo y sincronización del conjunto hardware–software; y 4) validación humana, que requiere calibración, confiabilidad y relación con criterios externos. Una aprobación en una categoría no se consideró evidencia automática de las categorías superiores [47], [48].</w:t>
      </w:r>
    </w:p>
    <w:p w14:paraId="0FA8E5BB" w14:textId="77777777" w:rsidR="00FA6ADD" w:rsidRPr="004A2C8D" w:rsidRDefault="00000000">
      <w:pPr>
        <w:pStyle w:val="Heading2"/>
        <w:spacing w:before="80" w:after="40"/>
        <w:rPr>
          <w:lang w:val="es-CO"/>
        </w:rPr>
      </w:pPr>
      <w:r w:rsidRPr="004A2C8D">
        <w:rPr>
          <w:rFonts w:ascii="Times New Roman" w:eastAsia="Times New Roman" w:hAnsi="Times New Roman" w:cs="Times New Roman"/>
          <w:sz w:val="20"/>
          <w:lang w:val="es-CO"/>
        </w:rPr>
        <w:lastRenderedPageBreak/>
        <w:t>2.2 Fuentes documentales y estrategia de revisión</w:t>
      </w:r>
    </w:p>
    <w:p w14:paraId="5D81FF17" w14:textId="7F2F3DCE" w:rsidR="00FA6ADD" w:rsidRPr="004A2C8D" w:rsidRDefault="00000000">
      <w:pPr>
        <w:spacing w:after="40"/>
        <w:ind w:firstLine="283"/>
        <w:jc w:val="both"/>
        <w:rPr>
          <w:lang w:val="es-CO"/>
        </w:rPr>
      </w:pPr>
      <w:r w:rsidRPr="004A2C8D">
        <w:rPr>
          <w:rFonts w:eastAsia="Times New Roman" w:cs="Times New Roman"/>
          <w:lang w:val="es-CO"/>
        </w:rPr>
        <w:t xml:space="preserve">La auditoría del repositorio incluyó el archivo de citación, la documentación de alcance y seguridad, el historial de cambios, el diseño de integración </w:t>
      </w:r>
      <w:proofErr w:type="spellStart"/>
      <w:r w:rsidRPr="004A2C8D">
        <w:rPr>
          <w:rFonts w:eastAsia="Times New Roman" w:cs="Times New Roman"/>
          <w:lang w:val="es-CO"/>
        </w:rPr>
        <w:t>Liftoff</w:t>
      </w:r>
      <w:proofErr w:type="spellEnd"/>
      <w:r w:rsidRPr="004A2C8D">
        <w:rPr>
          <w:rFonts w:eastAsia="Times New Roman" w:cs="Times New Roman"/>
          <w:lang w:val="es-CO"/>
        </w:rPr>
        <w:t xml:space="preserve">–ASTRA, la especificación de métricas, los perfiles de calificación y los módulos de análisis y telemetría [45]–[48]. Se revisaron además los documentos canónicos de NASA, los informes de AF-MATB, la publicación de </w:t>
      </w:r>
      <w:proofErr w:type="spellStart"/>
      <w:r w:rsidRPr="004A2C8D">
        <w:rPr>
          <w:rFonts w:eastAsia="Times New Roman" w:cs="Times New Roman"/>
          <w:lang w:val="es-CO"/>
        </w:rPr>
        <w:t>OpenMATB</w:t>
      </w:r>
      <w:proofErr w:type="spellEnd"/>
      <w:r w:rsidRPr="004A2C8D">
        <w:rPr>
          <w:rFonts w:eastAsia="Times New Roman" w:cs="Times New Roman"/>
          <w:lang w:val="es-CO"/>
        </w:rPr>
        <w:t xml:space="preserve"> y la descripción de USAARL MATB [17]–[22]. El análisis fue estático y documental: se examinaron archivos, contratos y evidencia automatizada registrada, pero no se </w:t>
      </w:r>
      <w:r w:rsidR="00230555" w:rsidRPr="004A2C8D">
        <w:rPr>
          <w:rFonts w:eastAsia="Times New Roman" w:cs="Times New Roman"/>
          <w:lang w:val="es-CO"/>
        </w:rPr>
        <w:t>ejecutaron</w:t>
      </w:r>
      <w:r w:rsidRPr="004A2C8D">
        <w:rPr>
          <w:rFonts w:eastAsia="Times New Roman" w:cs="Times New Roman"/>
          <w:lang w:val="es-CO"/>
        </w:rPr>
        <w:t xml:space="preserve"> de manera independiente todas las suites de pruebas ni se midió el equipo físico del laboratorio.</w:t>
      </w:r>
    </w:p>
    <w:p w14:paraId="5F23EC1F" w14:textId="5314E870" w:rsidR="00FA6ADD" w:rsidRPr="004A2C8D" w:rsidRDefault="00000000">
      <w:pPr>
        <w:spacing w:after="40"/>
        <w:ind w:firstLine="283"/>
        <w:jc w:val="both"/>
        <w:rPr>
          <w:lang w:val="es-CO"/>
        </w:rPr>
      </w:pPr>
      <w:r w:rsidRPr="004A2C8D">
        <w:rPr>
          <w:rFonts w:eastAsia="Times New Roman" w:cs="Times New Roman"/>
          <w:lang w:val="es-CO"/>
        </w:rPr>
        <w:t xml:space="preserve">La revisión bibliográfica cubrió 1992–2026 y utilizó búsquedas estructuradas </w:t>
      </w:r>
      <w:r w:rsidR="00230555">
        <w:rPr>
          <w:rFonts w:eastAsia="Times New Roman" w:cs="Times New Roman"/>
          <w:lang w:val="es-CO"/>
        </w:rPr>
        <w:t xml:space="preserve">en bases de datos como </w:t>
      </w:r>
      <w:proofErr w:type="spellStart"/>
      <w:r w:rsidR="00230555">
        <w:rPr>
          <w:rFonts w:eastAsia="Times New Roman" w:cs="Times New Roman"/>
          <w:lang w:val="es-CO"/>
        </w:rPr>
        <w:t>ArXiv</w:t>
      </w:r>
      <w:proofErr w:type="spellEnd"/>
      <w:r w:rsidR="00230555">
        <w:rPr>
          <w:rFonts w:eastAsia="Times New Roman" w:cs="Times New Roman"/>
          <w:lang w:val="es-CO"/>
        </w:rPr>
        <w:t xml:space="preserve">, </w:t>
      </w:r>
      <w:proofErr w:type="spellStart"/>
      <w:r w:rsidR="00230555">
        <w:rPr>
          <w:rFonts w:eastAsia="Times New Roman" w:cs="Times New Roman"/>
          <w:lang w:val="es-CO"/>
        </w:rPr>
        <w:t>Scopus</w:t>
      </w:r>
      <w:proofErr w:type="spellEnd"/>
      <w:r w:rsidR="00230555">
        <w:rPr>
          <w:rFonts w:eastAsia="Times New Roman" w:cs="Times New Roman"/>
          <w:lang w:val="es-CO"/>
        </w:rPr>
        <w:t>, PubMed</w:t>
      </w:r>
      <w:r w:rsidRPr="004A2C8D">
        <w:rPr>
          <w:rFonts w:eastAsia="Times New Roman" w:cs="Times New Roman"/>
          <w:lang w:val="es-CO"/>
        </w:rPr>
        <w:t xml:space="preserve">, seguidas de comprobación por DOI, informe técnico o sitio editorial. </w:t>
      </w:r>
      <w:r>
        <w:rPr>
          <w:rFonts w:eastAsia="Times New Roman" w:cs="Times New Roman"/>
        </w:rPr>
        <w:t xml:space="preserve">Los </w:t>
      </w:r>
      <w:proofErr w:type="spellStart"/>
      <w:r>
        <w:rPr>
          <w:rFonts w:eastAsia="Times New Roman" w:cs="Times New Roman"/>
        </w:rPr>
        <w:t>términos</w:t>
      </w:r>
      <w:proofErr w:type="spellEnd"/>
      <w:r>
        <w:rPr>
          <w:rFonts w:eastAsia="Times New Roman" w:cs="Times New Roman"/>
        </w:rPr>
        <w:t xml:space="preserve"> </w:t>
      </w:r>
      <w:proofErr w:type="spellStart"/>
      <w:r>
        <w:rPr>
          <w:rFonts w:eastAsia="Times New Roman" w:cs="Times New Roman"/>
        </w:rPr>
        <w:t>combinaron</w:t>
      </w:r>
      <w:proofErr w:type="spellEnd"/>
      <w:r>
        <w:rPr>
          <w:rFonts w:eastAsia="Times New Roman" w:cs="Times New Roman"/>
        </w:rPr>
        <w:t xml:space="preserve"> «MATB», «MATB-II», «AF-MATB», «USAARL MATB», «OpenMATB», «mental workload», «situation awareness», «multitasking», «drone», «sUAS», «first-person view», «pilot performance», «simulator training», «manual control», «heart rate variability» y «longitudinal». </w:t>
      </w:r>
      <w:r w:rsidRPr="004A2C8D">
        <w:rPr>
          <w:rFonts w:eastAsia="Times New Roman" w:cs="Times New Roman"/>
          <w:lang w:val="es-CO"/>
        </w:rPr>
        <w:t>Se incluyeron artículos revisados por pares, informes oficiales de NASA/USAF y trabajos metodológicos directamente relacionados con desempeño, carga, automatización, conciencia situacional, fisiología o aprendizaje. Se excluyeron fuentes sin trazabilidad, descripciones puramente comerciales y afirmaciones de eficacia no sustentadas.</w:t>
      </w:r>
    </w:p>
    <w:p w14:paraId="00264824" w14:textId="77777777" w:rsidR="00FA6ADD" w:rsidRPr="004A2C8D" w:rsidRDefault="00000000">
      <w:pPr>
        <w:pStyle w:val="Heading2"/>
        <w:spacing w:before="80" w:after="40"/>
        <w:rPr>
          <w:lang w:val="es-CO"/>
        </w:rPr>
      </w:pPr>
      <w:r w:rsidRPr="004A2C8D">
        <w:rPr>
          <w:rFonts w:ascii="Times New Roman" w:eastAsia="Times New Roman" w:hAnsi="Times New Roman" w:cs="Times New Roman"/>
          <w:sz w:val="20"/>
          <w:lang w:val="es-CO"/>
        </w:rPr>
        <w:t>2.3 Comparadores y dimensiones de análisis</w:t>
      </w:r>
    </w:p>
    <w:p w14:paraId="57AA4F9D" w14:textId="77777777" w:rsidR="00FA6ADD" w:rsidRPr="004A2C8D" w:rsidRDefault="00000000">
      <w:pPr>
        <w:spacing w:after="40"/>
        <w:ind w:firstLine="283"/>
        <w:jc w:val="both"/>
        <w:rPr>
          <w:lang w:val="es-CO"/>
        </w:rPr>
      </w:pPr>
      <w:r w:rsidRPr="004A2C8D">
        <w:rPr>
          <w:rFonts w:eastAsia="Times New Roman" w:cs="Times New Roman"/>
          <w:lang w:val="es-CO"/>
        </w:rPr>
        <w:t xml:space="preserve">Se compararon cinco familias: NASA MATB/MATB-II, AF-MATB, </w:t>
      </w:r>
      <w:proofErr w:type="spellStart"/>
      <w:r w:rsidRPr="004A2C8D">
        <w:rPr>
          <w:rFonts w:eastAsia="Times New Roman" w:cs="Times New Roman"/>
          <w:lang w:val="es-CO"/>
        </w:rPr>
        <w:t>OpenMATB</w:t>
      </w:r>
      <w:proofErr w:type="spellEnd"/>
      <w:r w:rsidRPr="004A2C8D">
        <w:rPr>
          <w:rFonts w:eastAsia="Times New Roman" w:cs="Times New Roman"/>
          <w:lang w:val="es-CO"/>
        </w:rPr>
        <w:t xml:space="preserve">, USAARL MATB y la plataforma estudiada. Las dimensiones predefinidas fueron: conservación de las cuatro subtareas; personalización de escenarios; adquisición de respuestas y métricas; sincronización externa; automatización; escalas subjetivas; evaluación de conciencia situacional; integración fisiológica; control manual FPV; supervisión </w:t>
      </w:r>
      <w:proofErr w:type="spellStart"/>
      <w:r w:rsidRPr="004A2C8D">
        <w:rPr>
          <w:rFonts w:eastAsia="Times New Roman" w:cs="Times New Roman"/>
          <w:lang w:val="es-CO"/>
        </w:rPr>
        <w:t>sUAS</w:t>
      </w:r>
      <w:proofErr w:type="spellEnd"/>
      <w:r w:rsidRPr="004A2C8D">
        <w:rPr>
          <w:rFonts w:eastAsia="Times New Roman" w:cs="Times New Roman"/>
          <w:lang w:val="es-CO"/>
        </w:rPr>
        <w:t>; seguimiento longitudinal; procedencia y reproducción; localización lingüística; y madurez empírica. Se evitó construir una puntuación global, porque la amplitud funcional y la validez científica son propiedades distintas.</w:t>
      </w:r>
    </w:p>
    <w:p w14:paraId="3BBD1F44" w14:textId="77777777" w:rsidR="00FA6ADD" w:rsidRPr="004A2C8D" w:rsidRDefault="00000000">
      <w:pPr>
        <w:pStyle w:val="Heading2"/>
        <w:spacing w:before="80" w:after="40"/>
        <w:rPr>
          <w:lang w:val="es-CO"/>
        </w:rPr>
      </w:pPr>
      <w:r w:rsidRPr="004A2C8D">
        <w:rPr>
          <w:rFonts w:ascii="Times New Roman" w:eastAsia="Times New Roman" w:hAnsi="Times New Roman" w:cs="Times New Roman"/>
          <w:sz w:val="20"/>
          <w:lang w:val="es-CO"/>
        </w:rPr>
        <w:t>2.4 Mapeo de constructos y desenlaces</w:t>
      </w:r>
    </w:p>
    <w:p w14:paraId="616544C6" w14:textId="77777777" w:rsidR="00FA6ADD" w:rsidRPr="004A2C8D" w:rsidRDefault="00000000">
      <w:pPr>
        <w:spacing w:after="40"/>
        <w:ind w:firstLine="283"/>
        <w:jc w:val="both"/>
        <w:rPr>
          <w:lang w:val="es-CO"/>
        </w:rPr>
      </w:pPr>
      <w:r w:rsidRPr="004A2C8D">
        <w:rPr>
          <w:rFonts w:eastAsia="Times New Roman" w:cs="Times New Roman"/>
          <w:lang w:val="es-CO"/>
        </w:rPr>
        <w:t xml:space="preserve">El mapeo se diseñó para prevenir la sustitución de constructos. El desempeño multitarea se asignó a métricas específicas de SYSMON, TRACK, COMM y RESMAN; la destreza manual FPV a vueltas, tiempo, trayectoria, dinámica y entradas de control; la supervisión </w:t>
      </w:r>
      <w:proofErr w:type="spellStart"/>
      <w:r w:rsidRPr="004A2C8D">
        <w:rPr>
          <w:rFonts w:eastAsia="Times New Roman" w:cs="Times New Roman"/>
          <w:lang w:val="es-CO"/>
        </w:rPr>
        <w:t>sUAS</w:t>
      </w:r>
      <w:proofErr w:type="spellEnd"/>
      <w:r w:rsidRPr="004A2C8D">
        <w:rPr>
          <w:rFonts w:eastAsia="Times New Roman" w:cs="Times New Roman"/>
          <w:lang w:val="es-CO"/>
        </w:rPr>
        <w:t xml:space="preserve"> a respuestas ante eventos, alertas y decisiones; la carga percibida al índice de carga de tarea de NASA (NASA </w:t>
      </w:r>
      <w:proofErr w:type="spellStart"/>
      <w:r w:rsidRPr="004A2C8D">
        <w:rPr>
          <w:rFonts w:eastAsia="Times New Roman" w:cs="Times New Roman"/>
          <w:lang w:val="es-CO"/>
        </w:rPr>
        <w:t>Task</w:t>
      </w:r>
      <w:proofErr w:type="spellEnd"/>
      <w:r w:rsidRPr="004A2C8D">
        <w:rPr>
          <w:rFonts w:eastAsia="Times New Roman" w:cs="Times New Roman"/>
          <w:lang w:val="es-CO"/>
        </w:rPr>
        <w:t xml:space="preserve"> Load </w:t>
      </w:r>
      <w:proofErr w:type="spellStart"/>
      <w:r w:rsidRPr="004A2C8D">
        <w:rPr>
          <w:rFonts w:eastAsia="Times New Roman" w:cs="Times New Roman"/>
          <w:lang w:val="es-CO"/>
        </w:rPr>
        <w:t>Index</w:t>
      </w:r>
      <w:proofErr w:type="spellEnd"/>
      <w:r w:rsidRPr="004A2C8D">
        <w:rPr>
          <w:rFonts w:eastAsia="Times New Roman" w:cs="Times New Roman"/>
          <w:lang w:val="es-CO"/>
        </w:rPr>
        <w:t>, NASA-TLX), la evaluación instantánea (</w:t>
      </w:r>
      <w:proofErr w:type="spellStart"/>
      <w:r w:rsidRPr="004A2C8D">
        <w:rPr>
          <w:rFonts w:eastAsia="Times New Roman" w:cs="Times New Roman"/>
          <w:lang w:val="es-CO"/>
        </w:rPr>
        <w:t>Instantaneous</w:t>
      </w:r>
      <w:proofErr w:type="spellEnd"/>
      <w:r w:rsidRPr="004A2C8D">
        <w:rPr>
          <w:rFonts w:eastAsia="Times New Roman" w:cs="Times New Roman"/>
          <w:lang w:val="es-CO"/>
        </w:rPr>
        <w:t xml:space="preserve"> Self-</w:t>
      </w:r>
      <w:proofErr w:type="spellStart"/>
      <w:r w:rsidRPr="004A2C8D">
        <w:rPr>
          <w:rFonts w:eastAsia="Times New Roman" w:cs="Times New Roman"/>
          <w:lang w:val="es-CO"/>
        </w:rPr>
        <w:t>Assessment</w:t>
      </w:r>
      <w:proofErr w:type="spellEnd"/>
      <w:r w:rsidRPr="004A2C8D">
        <w:rPr>
          <w:rFonts w:eastAsia="Times New Roman" w:cs="Times New Roman"/>
          <w:lang w:val="es-CO"/>
        </w:rPr>
        <w:t>, ISA) y la escala Bedford; la conciencia situacional a sondas de la técnica de evaluación global de conciencia situacional (</w:t>
      </w:r>
      <w:proofErr w:type="spellStart"/>
      <w:r w:rsidRPr="004A2C8D">
        <w:rPr>
          <w:rFonts w:eastAsia="Times New Roman" w:cs="Times New Roman"/>
          <w:lang w:val="es-CO"/>
        </w:rPr>
        <w:t>Situation</w:t>
      </w:r>
      <w:proofErr w:type="spellEnd"/>
      <w:r w:rsidRPr="004A2C8D">
        <w:rPr>
          <w:rFonts w:eastAsia="Times New Roman" w:cs="Times New Roman"/>
          <w:lang w:val="es-CO"/>
        </w:rPr>
        <w:t xml:space="preserve"> </w:t>
      </w:r>
      <w:proofErr w:type="spellStart"/>
      <w:r w:rsidRPr="004A2C8D">
        <w:rPr>
          <w:rFonts w:eastAsia="Times New Roman" w:cs="Times New Roman"/>
          <w:lang w:val="es-CO"/>
        </w:rPr>
        <w:t>Awareness</w:t>
      </w:r>
      <w:proofErr w:type="spellEnd"/>
      <w:r w:rsidRPr="004A2C8D">
        <w:rPr>
          <w:rFonts w:eastAsia="Times New Roman" w:cs="Times New Roman"/>
          <w:lang w:val="es-CO"/>
        </w:rPr>
        <w:t xml:space="preserve"> Global </w:t>
      </w:r>
      <w:proofErr w:type="spellStart"/>
      <w:r w:rsidRPr="004A2C8D">
        <w:rPr>
          <w:rFonts w:eastAsia="Times New Roman" w:cs="Times New Roman"/>
          <w:lang w:val="es-CO"/>
        </w:rPr>
        <w:t>Assessment</w:t>
      </w:r>
      <w:proofErr w:type="spellEnd"/>
      <w:r w:rsidRPr="004A2C8D">
        <w:rPr>
          <w:rFonts w:eastAsia="Times New Roman" w:cs="Times New Roman"/>
          <w:lang w:val="es-CO"/>
        </w:rPr>
        <w:t xml:space="preserve"> </w:t>
      </w:r>
      <w:proofErr w:type="spellStart"/>
      <w:r w:rsidRPr="004A2C8D">
        <w:rPr>
          <w:rFonts w:eastAsia="Times New Roman" w:cs="Times New Roman"/>
          <w:lang w:val="es-CO"/>
        </w:rPr>
        <w:t>Technique</w:t>
      </w:r>
      <w:proofErr w:type="spellEnd"/>
      <w:r w:rsidRPr="004A2C8D">
        <w:rPr>
          <w:rFonts w:eastAsia="Times New Roman" w:cs="Times New Roman"/>
          <w:lang w:val="es-CO"/>
        </w:rPr>
        <w:t xml:space="preserve">, SAGAT); y la somnolencia contextual a la escala de somnolencia de Karolinska (Karolinska </w:t>
      </w:r>
      <w:proofErr w:type="spellStart"/>
      <w:r w:rsidRPr="004A2C8D">
        <w:rPr>
          <w:rFonts w:eastAsia="Times New Roman" w:cs="Times New Roman"/>
          <w:lang w:val="es-CO"/>
        </w:rPr>
        <w:t>Sleepiness</w:t>
      </w:r>
      <w:proofErr w:type="spellEnd"/>
      <w:r w:rsidRPr="004A2C8D">
        <w:rPr>
          <w:rFonts w:eastAsia="Times New Roman" w:cs="Times New Roman"/>
          <w:lang w:val="es-CO"/>
        </w:rPr>
        <w:t xml:space="preserve"> Scale, KSS) [28], [29].</w:t>
      </w:r>
    </w:p>
    <w:p w14:paraId="050C4E4E" w14:textId="77777777" w:rsidR="00FA6ADD" w:rsidRPr="004A2C8D" w:rsidRDefault="00000000">
      <w:pPr>
        <w:spacing w:after="40"/>
        <w:ind w:firstLine="283"/>
        <w:jc w:val="both"/>
        <w:rPr>
          <w:lang w:val="es-CO"/>
        </w:rPr>
      </w:pPr>
      <w:r w:rsidRPr="004A2C8D">
        <w:rPr>
          <w:rFonts w:eastAsia="Times New Roman" w:cs="Times New Roman"/>
          <w:lang w:val="es-CO"/>
        </w:rPr>
        <w:t xml:space="preserve">Para el control manual se priorizaron desenlaces interpretables y </w:t>
      </w:r>
      <w:proofErr w:type="spellStart"/>
      <w:r w:rsidRPr="004A2C8D">
        <w:rPr>
          <w:rFonts w:eastAsia="Times New Roman" w:cs="Times New Roman"/>
          <w:lang w:val="es-CO"/>
        </w:rPr>
        <w:t>rederivables</w:t>
      </w:r>
      <w:proofErr w:type="spellEnd"/>
      <w:r w:rsidRPr="004A2C8D">
        <w:rPr>
          <w:rFonts w:eastAsia="Times New Roman" w:cs="Times New Roman"/>
          <w:lang w:val="es-CO"/>
        </w:rPr>
        <w:t xml:space="preserve">: vueltas válidas, tiempo mediano y mejor tiempo, proporción de finalización, colisiones o reinicios, consistencia </w:t>
      </w:r>
      <w:proofErr w:type="spellStart"/>
      <w:r w:rsidRPr="004A2C8D">
        <w:rPr>
          <w:rFonts w:eastAsia="Times New Roman" w:cs="Times New Roman"/>
          <w:lang w:val="es-CO"/>
        </w:rPr>
        <w:t>intra-sesión</w:t>
      </w:r>
      <w:proofErr w:type="spellEnd"/>
      <w:r w:rsidRPr="004A2C8D">
        <w:rPr>
          <w:rFonts w:eastAsia="Times New Roman" w:cs="Times New Roman"/>
          <w:lang w:val="es-CO"/>
        </w:rPr>
        <w:t>, distancia recorrida, velocidad, velocidad angular, desviación respecto de una trayectoria congelada y actividad de los mandos. Esta selección siguió la literatura sobre control manual, pericia FPV y evaluación de pilotos de cuadricóptero [7]–[16], [30]. No se definió un «puntaje de piloto» que combinara dominios heterogéneos.</w:t>
      </w:r>
    </w:p>
    <w:p w14:paraId="4424A8CE" w14:textId="77777777" w:rsidR="00FA6ADD" w:rsidRPr="004A2C8D" w:rsidRDefault="00000000">
      <w:pPr>
        <w:spacing w:after="40"/>
        <w:ind w:firstLine="283"/>
        <w:jc w:val="both"/>
        <w:rPr>
          <w:lang w:val="es-CO"/>
        </w:rPr>
      </w:pPr>
      <w:r w:rsidRPr="004A2C8D">
        <w:rPr>
          <w:rFonts w:eastAsia="Times New Roman" w:cs="Times New Roman"/>
          <w:lang w:val="es-CO"/>
        </w:rPr>
        <w:t>La fisiología se trató como una capa de contexto del estado del operador y no como sustituto del desempeño. Los desenlaces primarios propuestos fueron frecuencia cardiaca media, logaritmo natural de la raíz cuadrática media de diferencias sucesivas (</w:t>
      </w:r>
      <w:proofErr w:type="spellStart"/>
      <w:r w:rsidRPr="004A2C8D">
        <w:rPr>
          <w:rFonts w:eastAsia="Times New Roman" w:cs="Times New Roman"/>
          <w:lang w:val="es-CO"/>
        </w:rPr>
        <w:t>lnRMSSD</w:t>
      </w:r>
      <w:proofErr w:type="spellEnd"/>
      <w:r w:rsidRPr="004A2C8D">
        <w:rPr>
          <w:rFonts w:eastAsia="Times New Roman" w:cs="Times New Roman"/>
          <w:lang w:val="es-CO"/>
        </w:rPr>
        <w:t>), cambio basal–tarea, cambio tarea–recuperación, porcentaje de artefactos y cobertura utilizable. Las recomendaciones metodológicas sobre duración, edición, respiración, postura y reporte de variabilidad de la frecuencia cardiaca (VFC) se tomaron de guías internacionales [34]–[39]. La razón de baja a alta frecuencia no se consideró un desenlace primario ni una medida directa de «balance autonómico».</w:t>
      </w:r>
    </w:p>
    <w:p w14:paraId="4D6CAF97" w14:textId="77777777" w:rsidR="00FA6ADD" w:rsidRPr="004A2C8D" w:rsidRDefault="00000000">
      <w:pPr>
        <w:pStyle w:val="Heading2"/>
        <w:spacing w:before="80" w:after="40"/>
        <w:rPr>
          <w:lang w:val="es-CO"/>
        </w:rPr>
      </w:pPr>
      <w:r w:rsidRPr="004A2C8D">
        <w:rPr>
          <w:rFonts w:ascii="Times New Roman" w:eastAsia="Times New Roman" w:hAnsi="Times New Roman" w:cs="Times New Roman"/>
          <w:sz w:val="20"/>
          <w:lang w:val="es-CO"/>
        </w:rPr>
        <w:t>2.5 Arquitectura y protocolo de integración</w:t>
      </w:r>
    </w:p>
    <w:p w14:paraId="5D991C01" w14:textId="77777777" w:rsidR="00FA6ADD" w:rsidRPr="004A2C8D" w:rsidRDefault="00000000">
      <w:pPr>
        <w:spacing w:after="40"/>
        <w:ind w:firstLine="283"/>
        <w:jc w:val="both"/>
        <w:rPr>
          <w:lang w:val="es-CO"/>
        </w:rPr>
      </w:pPr>
      <w:r w:rsidRPr="004A2C8D">
        <w:rPr>
          <w:rFonts w:eastAsia="Times New Roman" w:cs="Times New Roman"/>
          <w:lang w:val="es-CO"/>
        </w:rPr>
        <w:t xml:space="preserve">La arquitectura se definió con tres tareas complementarias. </w:t>
      </w:r>
      <w:proofErr w:type="spellStart"/>
      <w:r w:rsidRPr="004A2C8D">
        <w:rPr>
          <w:rFonts w:eastAsia="Times New Roman" w:cs="Times New Roman"/>
          <w:lang w:val="es-CO"/>
        </w:rPr>
        <w:t>OpenMATB</w:t>
      </w:r>
      <w:proofErr w:type="spellEnd"/>
      <w:r w:rsidRPr="004A2C8D">
        <w:rPr>
          <w:rFonts w:eastAsia="Times New Roman" w:cs="Times New Roman"/>
          <w:lang w:val="es-CO"/>
        </w:rPr>
        <w:t xml:space="preserve"> conserva la manipulación controlada de demanda multitarea; </w:t>
      </w:r>
      <w:proofErr w:type="spellStart"/>
      <w:r w:rsidRPr="004A2C8D">
        <w:rPr>
          <w:rFonts w:eastAsia="Times New Roman" w:cs="Times New Roman"/>
          <w:lang w:val="es-CO"/>
        </w:rPr>
        <w:t>Liftoff</w:t>
      </w:r>
      <w:proofErr w:type="spellEnd"/>
      <w:r w:rsidRPr="004A2C8D">
        <w:rPr>
          <w:rFonts w:eastAsia="Times New Roman" w:cs="Times New Roman"/>
          <w:lang w:val="es-CO"/>
        </w:rPr>
        <w:t xml:space="preserve"> aporta control manual FPV continuo mediante la aplicación comercial sin modificaciones y su salida de telemetría documentada; y una misión </w:t>
      </w:r>
      <w:proofErr w:type="spellStart"/>
      <w:r w:rsidRPr="004A2C8D">
        <w:rPr>
          <w:rFonts w:eastAsia="Times New Roman" w:cs="Times New Roman"/>
          <w:lang w:val="es-CO"/>
        </w:rPr>
        <w:t>sUAS</w:t>
      </w:r>
      <w:proofErr w:type="spellEnd"/>
      <w:r w:rsidRPr="004A2C8D">
        <w:rPr>
          <w:rFonts w:eastAsia="Times New Roman" w:cs="Times New Roman"/>
          <w:lang w:val="es-CO"/>
        </w:rPr>
        <w:t xml:space="preserve"> sintética aporta supervisión y mando no cinético. Las escalas, las sondas SAGAT y la fisiología pueden alinearse con las fases de cada tarea. La persistencia es local y orientada a archivos: telemetría original, eventos ordenados, marcadores, manifiestos, resultados, calidad y sumas de comprobación se conservan como artefactos independientes [45], [46].</w:t>
      </w:r>
    </w:p>
    <w:p w14:paraId="55D43EA2" w14:textId="77777777" w:rsidR="00FA6ADD" w:rsidRPr="004A2C8D" w:rsidRDefault="00000000">
      <w:pPr>
        <w:spacing w:after="40"/>
        <w:ind w:firstLine="283"/>
        <w:jc w:val="both"/>
        <w:rPr>
          <w:lang w:val="es-CO"/>
        </w:rPr>
      </w:pPr>
      <w:r w:rsidRPr="004A2C8D">
        <w:rPr>
          <w:rFonts w:eastAsia="Times New Roman" w:cs="Times New Roman"/>
          <w:lang w:val="es-CO"/>
        </w:rPr>
        <w:t xml:space="preserve">El protocolo </w:t>
      </w:r>
      <w:proofErr w:type="spellStart"/>
      <w:r w:rsidRPr="004A2C8D">
        <w:rPr>
          <w:rFonts w:eastAsia="Times New Roman" w:cs="Times New Roman"/>
          <w:lang w:val="es-CO"/>
        </w:rPr>
        <w:t>Liftoff</w:t>
      </w:r>
      <w:proofErr w:type="spellEnd"/>
      <w:r w:rsidRPr="004A2C8D">
        <w:rPr>
          <w:rFonts w:eastAsia="Times New Roman" w:cs="Times New Roman"/>
          <w:lang w:val="es-CO"/>
        </w:rPr>
        <w:t xml:space="preserve"> de referencia se estructuró en tres visitas —T0, día de misión 8 y día de misión 15— y en cada visita contempla preparación, KSS, cinco minutos de línea basal sentada, 15 minutos de contrarreloj FPV, cinco minutos de recuperación, NASA-TLX, revisión de desviaciones y sellado del artefacto. Se congela la versión del simulador, la pista, la aeronave, la modalidad de control, el campo visual, las tasas, el transmisor, el monitor, la frecuencia de refresco y la configuración ambiental. El orden MATB–</w:t>
      </w:r>
      <w:proofErr w:type="spellStart"/>
      <w:r w:rsidRPr="004A2C8D">
        <w:rPr>
          <w:rFonts w:eastAsia="Times New Roman" w:cs="Times New Roman"/>
          <w:lang w:val="es-CO"/>
        </w:rPr>
        <w:t>Liftoff</w:t>
      </w:r>
      <w:proofErr w:type="spellEnd"/>
      <w:r w:rsidRPr="004A2C8D">
        <w:rPr>
          <w:rFonts w:eastAsia="Times New Roman" w:cs="Times New Roman"/>
          <w:lang w:val="es-CO"/>
        </w:rPr>
        <w:t xml:space="preserve"> se contrabalancea y se mantiene para cada participante. Estas decisiones constituyen un protocolo de factibilidad y no resultados humanos [46].</w:t>
      </w:r>
    </w:p>
    <w:p w14:paraId="4A73B8BF" w14:textId="77777777" w:rsidR="00FA6ADD" w:rsidRPr="004A2C8D" w:rsidRDefault="00000000">
      <w:pPr>
        <w:pStyle w:val="Heading2"/>
        <w:spacing w:before="80" w:after="40"/>
        <w:rPr>
          <w:lang w:val="es-CO"/>
        </w:rPr>
      </w:pPr>
      <w:r w:rsidRPr="004A2C8D">
        <w:rPr>
          <w:rFonts w:ascii="Times New Roman" w:eastAsia="Times New Roman" w:hAnsi="Times New Roman" w:cs="Times New Roman"/>
          <w:sz w:val="20"/>
          <w:lang w:val="es-CO"/>
        </w:rPr>
        <w:lastRenderedPageBreak/>
        <w:t>2.6 Verificación técnica y criterios de interpretación</w:t>
      </w:r>
    </w:p>
    <w:p w14:paraId="548366CE" w14:textId="77777777" w:rsidR="00FA6ADD" w:rsidRPr="004A2C8D" w:rsidRDefault="00000000">
      <w:pPr>
        <w:spacing w:after="40"/>
        <w:ind w:firstLine="283"/>
        <w:jc w:val="both"/>
        <w:rPr>
          <w:lang w:val="es-CO"/>
        </w:rPr>
      </w:pPr>
      <w:r w:rsidRPr="004A2C8D">
        <w:rPr>
          <w:rFonts w:eastAsia="Times New Roman" w:cs="Times New Roman"/>
          <w:lang w:val="es-CO"/>
        </w:rPr>
        <w:t>La revisión de conformidad buscó escenarios deterministas, esquemas versionados, registro de eventos en orden, reproducción, control de valores faltantes o ambiguos, procedencia de métricas y bloqueo ante evidencia incompleta. Se consideró especialmente la separación de relojes: tiempo del escenario, reloj monotónico del anfitrión y tiempo coordinado universal. La presencia de marcas lógicas o de un espejo mediante Lab Streaming Layer no se interpretó como prueba de latencia física; esa calificación requiere fotodiodo, bucle de audio y entrada actuada en el equipo nominal [47], [48].</w:t>
      </w:r>
    </w:p>
    <w:p w14:paraId="500BCA7F" w14:textId="77777777" w:rsidR="00FA6ADD" w:rsidRPr="004A2C8D" w:rsidRDefault="00000000">
      <w:pPr>
        <w:spacing w:after="40"/>
        <w:ind w:firstLine="283"/>
        <w:jc w:val="both"/>
        <w:rPr>
          <w:lang w:val="es-CO"/>
        </w:rPr>
      </w:pPr>
      <w:r w:rsidRPr="004A2C8D">
        <w:rPr>
          <w:rFonts w:eastAsia="Times New Roman" w:cs="Times New Roman"/>
          <w:lang w:val="es-CO"/>
        </w:rPr>
        <w:t>La evidencia se resumió mediante una matriz cualitativa de cobertura y una escalera de madurez. La inferencia permitida se limitó a lo directamente sustentado: una prueba de reproducción permite afirmar repetibilidad del artefacto bajo las condiciones verificadas, pero no confiabilidad entre sesiones humanas; una escala integrada permite recolectar una respuesta, pero no valida su traducción; y una señal fisiológica sincronizada permite análisis por fases, pero no diagnóstico, detección automática de fatiga ni decisión de aptitud.</w:t>
      </w:r>
    </w:p>
    <w:p w14:paraId="6F6445EC" w14:textId="6766C8CB" w:rsidR="00FA6ADD" w:rsidRPr="004A2C8D" w:rsidRDefault="00000000">
      <w:pPr>
        <w:pStyle w:val="Heading2"/>
        <w:spacing w:before="80" w:after="40"/>
        <w:rPr>
          <w:lang w:val="es-CO"/>
        </w:rPr>
      </w:pPr>
      <w:r w:rsidRPr="004A2C8D">
        <w:rPr>
          <w:rFonts w:ascii="Times New Roman" w:eastAsia="Times New Roman" w:hAnsi="Times New Roman" w:cs="Times New Roman"/>
          <w:sz w:val="20"/>
          <w:lang w:val="es-CO"/>
        </w:rPr>
        <w:t xml:space="preserve">2.7 Consideraciones éticas </w:t>
      </w:r>
    </w:p>
    <w:p w14:paraId="74DB5C20" w14:textId="2DC02A1C" w:rsidR="00FA6ADD" w:rsidRPr="004A2C8D" w:rsidRDefault="00000000">
      <w:pPr>
        <w:spacing w:after="40"/>
        <w:ind w:firstLine="283"/>
        <w:jc w:val="both"/>
        <w:rPr>
          <w:lang w:val="es-CO"/>
        </w:rPr>
      </w:pPr>
      <w:r w:rsidRPr="004A2C8D">
        <w:rPr>
          <w:rFonts w:eastAsia="Times New Roman" w:cs="Times New Roman"/>
          <w:lang w:val="es-CO"/>
        </w:rPr>
        <w:t xml:space="preserve">Al no utilizar personas ni datos identificables, esta fase tecnológica no requirió evaluación de riesgo humano. La plataforma incorpora seudónimos, separación entre datos de investigación y operación, almacenamiento local, control de acceso y sellado de artefactos. Cualquier estudio posterior con operadores deberá contar con aprobación ética, consentimiento informado, minimización de datos, plan de seguridad para </w:t>
      </w:r>
      <w:proofErr w:type="spellStart"/>
      <w:r w:rsidRPr="004A2C8D">
        <w:rPr>
          <w:rFonts w:eastAsia="Times New Roman" w:cs="Times New Roman"/>
          <w:lang w:val="es-CO"/>
        </w:rPr>
        <w:t>cibermareo</w:t>
      </w:r>
      <w:proofErr w:type="spellEnd"/>
      <w:r w:rsidRPr="004A2C8D">
        <w:rPr>
          <w:rFonts w:eastAsia="Times New Roman" w:cs="Times New Roman"/>
          <w:lang w:val="es-CO"/>
        </w:rPr>
        <w:t xml:space="preserve"> y fatiga, y prohibición explícita de usar resultados exploratorios para selección, sanción, certificación o aptitud aeromédica.</w:t>
      </w:r>
      <w:r w:rsidR="009B60EB">
        <w:rPr>
          <w:rFonts w:eastAsia="Times New Roman" w:cs="Times New Roman"/>
          <w:lang w:val="es-CO"/>
        </w:rPr>
        <w:t xml:space="preserve"> Para la siguiente fase de estudio y validación se sometió a comité de ética </w:t>
      </w:r>
      <w:r w:rsidR="003935DA">
        <w:rPr>
          <w:rFonts w:eastAsia="Times New Roman" w:cs="Times New Roman"/>
          <w:lang w:val="es-CO"/>
        </w:rPr>
        <w:t xml:space="preserve">de la EPFAC aprobado por unanimidad </w:t>
      </w:r>
      <w:r w:rsidR="00C30684">
        <w:rPr>
          <w:rFonts w:eastAsia="Times New Roman" w:cs="Times New Roman"/>
          <w:lang w:val="es-CO"/>
        </w:rPr>
        <w:t xml:space="preserve">con el acta </w:t>
      </w:r>
      <w:r w:rsidR="00C30684" w:rsidRPr="00C30684">
        <w:rPr>
          <w:rFonts w:eastAsia="Times New Roman" w:cs="Times New Roman"/>
          <w:lang w:val="es-CO"/>
        </w:rPr>
        <w:t>FAC-S-2026-027439-AG</w:t>
      </w:r>
      <w:r w:rsidR="00C30684">
        <w:rPr>
          <w:rFonts w:eastAsia="Times New Roman" w:cs="Times New Roman"/>
          <w:lang w:val="es-CO"/>
        </w:rPr>
        <w:t xml:space="preserve"> para la misión ASTRA. </w:t>
      </w:r>
      <w:r w:rsidR="003935DA">
        <w:rPr>
          <w:rFonts w:eastAsia="Times New Roman" w:cs="Times New Roman"/>
          <w:lang w:val="es-CO"/>
        </w:rPr>
        <w:t xml:space="preserve"> </w:t>
      </w:r>
    </w:p>
    <w:p w14:paraId="1E6A3F53" w14:textId="77777777" w:rsidR="00FA6ADD" w:rsidRPr="004A2C8D" w:rsidRDefault="00000000">
      <w:pPr>
        <w:pStyle w:val="Heading1"/>
        <w:spacing w:before="120" w:after="40"/>
        <w:rPr>
          <w:lang w:val="es-CO"/>
        </w:rPr>
      </w:pPr>
      <w:r w:rsidRPr="004A2C8D">
        <w:rPr>
          <w:rFonts w:ascii="Times New Roman" w:eastAsia="Times New Roman" w:hAnsi="Times New Roman" w:cs="Times New Roman"/>
          <w:sz w:val="20"/>
          <w:lang w:val="es-CO"/>
        </w:rPr>
        <w:t>3. Resultados</w:t>
      </w:r>
    </w:p>
    <w:p w14:paraId="6D0C04D4" w14:textId="77777777" w:rsidR="00FA6ADD" w:rsidRPr="004A2C8D" w:rsidRDefault="00000000">
      <w:pPr>
        <w:pStyle w:val="Heading2"/>
        <w:spacing w:before="80" w:after="40"/>
        <w:rPr>
          <w:lang w:val="es-CO"/>
        </w:rPr>
      </w:pPr>
      <w:r w:rsidRPr="004A2C8D">
        <w:rPr>
          <w:rFonts w:ascii="Times New Roman" w:eastAsia="Times New Roman" w:hAnsi="Times New Roman" w:cs="Times New Roman"/>
          <w:sz w:val="20"/>
          <w:lang w:val="es-CO"/>
        </w:rPr>
        <w:t>3.1 Arquitectura integrada orientada a factores humanos</w:t>
      </w:r>
    </w:p>
    <w:p w14:paraId="01222345" w14:textId="77777777" w:rsidR="00FA6ADD" w:rsidRPr="004A2C8D" w:rsidRDefault="00000000">
      <w:pPr>
        <w:spacing w:after="40"/>
        <w:ind w:firstLine="283"/>
        <w:jc w:val="both"/>
        <w:rPr>
          <w:lang w:val="es-CO"/>
        </w:rPr>
      </w:pPr>
      <w:r w:rsidRPr="004A2C8D">
        <w:rPr>
          <w:rFonts w:eastAsia="Times New Roman" w:cs="Times New Roman"/>
          <w:lang w:val="es-CO"/>
        </w:rPr>
        <w:t xml:space="preserve">La auditoría identificó una arquitectura de cinco capas funcionales: 1) tareas de desempeño; 2) medidas subjetivas y de conciencia situacional; 3) fisiología y contexto; 4) sincronización, calidad y procedencia; y 5) análisis longitudinal, </w:t>
      </w:r>
      <w:proofErr w:type="spellStart"/>
      <w:r w:rsidRPr="004A2C8D">
        <w:rPr>
          <w:rFonts w:eastAsia="Times New Roman" w:cs="Times New Roman"/>
          <w:lang w:val="es-CO"/>
        </w:rPr>
        <w:t>debrief</w:t>
      </w:r>
      <w:proofErr w:type="spellEnd"/>
      <w:r w:rsidRPr="004A2C8D">
        <w:rPr>
          <w:rFonts w:eastAsia="Times New Roman" w:cs="Times New Roman"/>
          <w:lang w:val="es-CO"/>
        </w:rPr>
        <w:t xml:space="preserve"> y exportación. La Fig. 1 muestra que </w:t>
      </w:r>
      <w:proofErr w:type="spellStart"/>
      <w:r w:rsidRPr="004A2C8D">
        <w:rPr>
          <w:rFonts w:eastAsia="Times New Roman" w:cs="Times New Roman"/>
          <w:lang w:val="es-CO"/>
        </w:rPr>
        <w:t>OpenMATB</w:t>
      </w:r>
      <w:proofErr w:type="spellEnd"/>
      <w:r w:rsidRPr="004A2C8D">
        <w:rPr>
          <w:rFonts w:eastAsia="Times New Roman" w:cs="Times New Roman"/>
          <w:lang w:val="es-CO"/>
        </w:rPr>
        <w:t xml:space="preserve">, </w:t>
      </w:r>
      <w:proofErr w:type="spellStart"/>
      <w:r w:rsidRPr="004A2C8D">
        <w:rPr>
          <w:rFonts w:eastAsia="Times New Roman" w:cs="Times New Roman"/>
          <w:lang w:val="es-CO"/>
        </w:rPr>
        <w:t>Liftoff</w:t>
      </w:r>
      <w:proofErr w:type="spellEnd"/>
      <w:r w:rsidRPr="004A2C8D">
        <w:rPr>
          <w:rFonts w:eastAsia="Times New Roman" w:cs="Times New Roman"/>
          <w:lang w:val="es-CO"/>
        </w:rPr>
        <w:t xml:space="preserve"> y la misión </w:t>
      </w:r>
      <w:proofErr w:type="spellStart"/>
      <w:r w:rsidRPr="004A2C8D">
        <w:rPr>
          <w:rFonts w:eastAsia="Times New Roman" w:cs="Times New Roman"/>
          <w:lang w:val="es-CO"/>
        </w:rPr>
        <w:t>sUAS</w:t>
      </w:r>
      <w:proofErr w:type="spellEnd"/>
      <w:r w:rsidRPr="004A2C8D">
        <w:rPr>
          <w:rFonts w:eastAsia="Times New Roman" w:cs="Times New Roman"/>
          <w:lang w:val="es-CO"/>
        </w:rPr>
        <w:t xml:space="preserve"> no son versiones rivales de una misma tarea, sino instrumentos que cubren niveles distintos del desempeño. El operador interactúa con cada entorno, mientras las medidas subjetivas y fisiológicas aportan contexto temporal. El sistema conserva cada resultado por separado para permitir análisis de costo de doble tarea, aprendizaje, estabilidad y recuperación.</w:t>
      </w:r>
    </w:p>
    <w:p w14:paraId="15AFB110" w14:textId="77777777" w:rsidR="00FA6ADD" w:rsidRDefault="00000000">
      <w:pPr>
        <w:keepLines/>
        <w:spacing w:before="40" w:after="20"/>
        <w:jc w:val="center"/>
      </w:pPr>
      <w:r>
        <w:rPr>
          <w:noProof/>
        </w:rPr>
        <w:drawing>
          <wp:inline distT="0" distB="0" distL="0" distR="0" wp14:anchorId="1C6A5812" wp14:editId="36C17C36">
            <wp:extent cx="5616000" cy="2520838"/>
            <wp:effectExtent l="0" t="0" r="0" b="0"/>
            <wp:docPr id="1" name="Picture 1" descr="Diagrama en escala de grises de la arquitectura integrada de OpenMATB, Liftoff, misión sUAS sintética, medidas subjetivas, fisiología, procedencia y análisis longitudinal." title="Diagrama en escala de grises de la arquitectura integrada de OpenMATB, Liftoff, misión sUAS sintética, medidas subjetivas, fisiología, procedencia y análisis longitud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_arquitectura_integrada_grises.png"/>
                    <pic:cNvPicPr/>
                  </pic:nvPicPr>
                  <pic:blipFill>
                    <a:blip r:embed="rId9"/>
                    <a:stretch>
                      <a:fillRect/>
                    </a:stretch>
                  </pic:blipFill>
                  <pic:spPr>
                    <a:xfrm>
                      <a:off x="0" y="0"/>
                      <a:ext cx="5616000" cy="2520838"/>
                    </a:xfrm>
                    <a:prstGeom prst="rect">
                      <a:avLst/>
                    </a:prstGeom>
                  </pic:spPr>
                </pic:pic>
              </a:graphicData>
            </a:graphic>
          </wp:inline>
        </w:drawing>
      </w:r>
    </w:p>
    <w:p w14:paraId="10285FA0" w14:textId="77777777" w:rsidR="00FA6ADD" w:rsidRPr="004A2C8D" w:rsidRDefault="00000000">
      <w:pPr>
        <w:keepLines/>
        <w:spacing w:before="20" w:after="80"/>
        <w:jc w:val="both"/>
        <w:rPr>
          <w:lang w:val="es-CO"/>
        </w:rPr>
      </w:pPr>
      <w:r w:rsidRPr="004A2C8D">
        <w:rPr>
          <w:rFonts w:eastAsia="Times New Roman" w:cs="Times New Roman"/>
          <w:sz w:val="16"/>
          <w:lang w:val="es-CO"/>
        </w:rPr>
        <w:t xml:space="preserve">Fig. 1. Arquitectura integrada para estudiar desempeño humano en </w:t>
      </w:r>
      <w:proofErr w:type="spellStart"/>
      <w:r w:rsidRPr="004A2C8D">
        <w:rPr>
          <w:rFonts w:eastAsia="Times New Roman" w:cs="Times New Roman"/>
          <w:sz w:val="16"/>
          <w:lang w:val="es-CO"/>
        </w:rPr>
        <w:t>sUAS</w:t>
      </w:r>
      <w:proofErr w:type="spellEnd"/>
      <w:r w:rsidRPr="004A2C8D">
        <w:rPr>
          <w:rFonts w:eastAsia="Times New Roman" w:cs="Times New Roman"/>
          <w:sz w:val="16"/>
          <w:lang w:val="es-CO"/>
        </w:rPr>
        <w:t xml:space="preserve">/FPV. </w:t>
      </w:r>
      <w:proofErr w:type="spellStart"/>
      <w:r w:rsidRPr="004A2C8D">
        <w:rPr>
          <w:rFonts w:eastAsia="Times New Roman" w:cs="Times New Roman"/>
          <w:sz w:val="16"/>
          <w:lang w:val="es-CO"/>
        </w:rPr>
        <w:t>OpenMATB</w:t>
      </w:r>
      <w:proofErr w:type="spellEnd"/>
      <w:r w:rsidRPr="004A2C8D">
        <w:rPr>
          <w:rFonts w:eastAsia="Times New Roman" w:cs="Times New Roman"/>
          <w:sz w:val="16"/>
          <w:lang w:val="es-CO"/>
        </w:rPr>
        <w:t xml:space="preserve">, </w:t>
      </w:r>
      <w:proofErr w:type="spellStart"/>
      <w:r w:rsidRPr="004A2C8D">
        <w:rPr>
          <w:rFonts w:eastAsia="Times New Roman" w:cs="Times New Roman"/>
          <w:sz w:val="16"/>
          <w:lang w:val="es-CO"/>
        </w:rPr>
        <w:t>Liftoff</w:t>
      </w:r>
      <w:proofErr w:type="spellEnd"/>
      <w:r w:rsidRPr="004A2C8D">
        <w:rPr>
          <w:rFonts w:eastAsia="Times New Roman" w:cs="Times New Roman"/>
          <w:sz w:val="16"/>
          <w:lang w:val="es-CO"/>
        </w:rPr>
        <w:t xml:space="preserve"> y la misión </w:t>
      </w:r>
      <w:proofErr w:type="spellStart"/>
      <w:r w:rsidRPr="004A2C8D">
        <w:rPr>
          <w:rFonts w:eastAsia="Times New Roman" w:cs="Times New Roman"/>
          <w:sz w:val="16"/>
          <w:lang w:val="es-CO"/>
        </w:rPr>
        <w:t>sUAS</w:t>
      </w:r>
      <w:proofErr w:type="spellEnd"/>
      <w:r w:rsidRPr="004A2C8D">
        <w:rPr>
          <w:rFonts w:eastAsia="Times New Roman" w:cs="Times New Roman"/>
          <w:sz w:val="16"/>
          <w:lang w:val="es-CO"/>
        </w:rPr>
        <w:t xml:space="preserve"> sintética aportan dominios complementarios; las capas de carga, conciencia situacional, fisiología y procedencia contextualizan el desempeño sin crear un puntaje único.</w:t>
      </w:r>
    </w:p>
    <w:p w14:paraId="77E92D90" w14:textId="77777777" w:rsidR="00FA6ADD" w:rsidRPr="004A2C8D" w:rsidRDefault="00000000">
      <w:pPr>
        <w:pStyle w:val="Heading2"/>
        <w:spacing w:before="80" w:after="40"/>
        <w:rPr>
          <w:lang w:val="es-CO"/>
        </w:rPr>
      </w:pPr>
      <w:r w:rsidRPr="004A2C8D">
        <w:rPr>
          <w:rFonts w:ascii="Times New Roman" w:eastAsia="Times New Roman" w:hAnsi="Times New Roman" w:cs="Times New Roman"/>
          <w:sz w:val="20"/>
          <w:lang w:val="es-CO"/>
        </w:rPr>
        <w:t>3.2 Cobertura de constructos y límites de uso</w:t>
      </w:r>
    </w:p>
    <w:p w14:paraId="4785EADB" w14:textId="77777777" w:rsidR="00FA6ADD" w:rsidRPr="004A2C8D" w:rsidRDefault="00000000">
      <w:pPr>
        <w:spacing w:after="40"/>
        <w:ind w:firstLine="283"/>
        <w:jc w:val="both"/>
        <w:rPr>
          <w:lang w:val="es-CO"/>
        </w:rPr>
      </w:pPr>
      <w:r w:rsidRPr="004A2C8D">
        <w:rPr>
          <w:rFonts w:eastAsia="Times New Roman" w:cs="Times New Roman"/>
          <w:lang w:val="es-CO"/>
        </w:rPr>
        <w:t xml:space="preserve">La Tabla 1 resume el contrato de interpretación. El núcleo MATB aporta medidas objetivas de detección, reacción, seguimiento y control de recursos. Liftoff aporta ejecución manual continua y resultados observables del circuito. La misión </w:t>
      </w:r>
      <w:proofErr w:type="spellStart"/>
      <w:r w:rsidRPr="004A2C8D">
        <w:rPr>
          <w:rFonts w:eastAsia="Times New Roman" w:cs="Times New Roman"/>
          <w:lang w:val="es-CO"/>
        </w:rPr>
        <w:t>sUAS</w:t>
      </w:r>
      <w:proofErr w:type="spellEnd"/>
      <w:r w:rsidRPr="004A2C8D">
        <w:rPr>
          <w:rFonts w:eastAsia="Times New Roman" w:cs="Times New Roman"/>
          <w:lang w:val="es-CO"/>
        </w:rPr>
        <w:t xml:space="preserve"> sintética permite estudiar supervisión, priorización y respuesta a eventos sin conexión con aeronaves reales. NASA-TLX, ISA y Bedford caracterizan experiencia de carga; SAGAT evalúa conocimiento de estados de la situación; KSS y el contexto de sueño ayudan a interpretar variación intraindividual. Polar H10 aporta frecuencia cardiaca, intervalos RR, electrocardiografía y acelerometría local, pero la capa analítica se restringe a descriptores conservadores por fase [45]–[47].</w:t>
      </w:r>
    </w:p>
    <w:p w14:paraId="778FA740" w14:textId="77777777" w:rsidR="00FA6ADD" w:rsidRPr="004A2C8D" w:rsidRDefault="00000000">
      <w:pPr>
        <w:spacing w:after="40"/>
        <w:ind w:firstLine="283"/>
        <w:jc w:val="both"/>
        <w:rPr>
          <w:lang w:val="es-CO"/>
        </w:rPr>
      </w:pPr>
      <w:r w:rsidRPr="004A2C8D">
        <w:rPr>
          <w:rFonts w:eastAsia="Times New Roman" w:cs="Times New Roman"/>
          <w:lang w:val="es-CO"/>
        </w:rPr>
        <w:t xml:space="preserve">El diseño impide tres atajos frecuentes. Primero, no promedia automáticamente subtareas MATB y vuelo FPV, porque la misma puntuación podría ocultar estrategias opuestas. Segundo, no etiqueta señales fisiológicas </w:t>
      </w:r>
      <w:r w:rsidRPr="004A2C8D">
        <w:rPr>
          <w:rFonts w:eastAsia="Times New Roman" w:cs="Times New Roman"/>
          <w:lang w:val="es-CO"/>
        </w:rPr>
        <w:lastRenderedPageBreak/>
        <w:t>como «carga alta», «fatiga» o «balance autonómico» sin un modelo validado. Tercero, no transforma la finalización de una simulación en competencia operacional. Aunque USAARL ha propuesto métodos de puntuación compuesta para estimar carga cognitiva, el repositorio conserva componentes y considera cualquier índice global una hipótesis separada [44].</w:t>
      </w:r>
    </w:p>
    <w:p w14:paraId="5D103E54" w14:textId="77777777" w:rsidR="00FA6ADD" w:rsidRPr="004A2C8D" w:rsidRDefault="00000000">
      <w:pPr>
        <w:keepNext/>
        <w:keepLines/>
        <w:spacing w:before="80" w:after="40"/>
        <w:rPr>
          <w:lang w:val="es-CO"/>
        </w:rPr>
      </w:pPr>
      <w:r w:rsidRPr="004A2C8D">
        <w:rPr>
          <w:rFonts w:eastAsia="Times New Roman" w:cs="Times New Roman"/>
          <w:b/>
          <w:sz w:val="16"/>
          <w:lang w:val="es-CO"/>
        </w:rPr>
        <w:t>Tabla 1. Mapeo de constructos, desenlaces y límites de interpretación</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1332"/>
        <w:gridCol w:w="1502"/>
        <w:gridCol w:w="2353"/>
        <w:gridCol w:w="1928"/>
        <w:gridCol w:w="1956"/>
      </w:tblGrid>
      <w:tr w:rsidR="00FA6ADD" w14:paraId="7D367D13" w14:textId="77777777">
        <w:trPr>
          <w:cantSplit/>
          <w:tblHeader/>
          <w:jc w:val="center"/>
        </w:trPr>
        <w:tc>
          <w:tcPr>
            <w:tcW w:w="1332" w:type="dxa"/>
            <w:shd w:val="clear" w:color="auto" w:fill="D0D0D0"/>
            <w:tcMar>
              <w:top w:w="50" w:type="dxa"/>
              <w:left w:w="70" w:type="dxa"/>
              <w:bottom w:w="50" w:type="dxa"/>
              <w:right w:w="70" w:type="dxa"/>
            </w:tcMar>
            <w:vAlign w:val="center"/>
          </w:tcPr>
          <w:p w14:paraId="533414ED" w14:textId="77777777" w:rsidR="00FA6ADD" w:rsidRDefault="00000000">
            <w:pPr>
              <w:keepLines/>
              <w:jc w:val="center"/>
            </w:pPr>
            <w:proofErr w:type="spellStart"/>
            <w:r>
              <w:rPr>
                <w:rFonts w:eastAsia="Times New Roman" w:cs="Times New Roman"/>
                <w:b/>
                <w:sz w:val="15"/>
              </w:rPr>
              <w:t>Constructo</w:t>
            </w:r>
            <w:proofErr w:type="spellEnd"/>
          </w:p>
        </w:tc>
        <w:tc>
          <w:tcPr>
            <w:tcW w:w="1502" w:type="dxa"/>
            <w:shd w:val="clear" w:color="auto" w:fill="D0D0D0"/>
            <w:tcMar>
              <w:top w:w="50" w:type="dxa"/>
              <w:left w:w="70" w:type="dxa"/>
              <w:bottom w:w="50" w:type="dxa"/>
              <w:right w:w="70" w:type="dxa"/>
            </w:tcMar>
            <w:vAlign w:val="center"/>
          </w:tcPr>
          <w:p w14:paraId="10139DF8" w14:textId="77777777" w:rsidR="00FA6ADD" w:rsidRDefault="00000000">
            <w:pPr>
              <w:keepLines/>
              <w:jc w:val="center"/>
            </w:pPr>
            <w:r>
              <w:rPr>
                <w:rFonts w:eastAsia="Times New Roman" w:cs="Times New Roman"/>
                <w:b/>
                <w:sz w:val="15"/>
              </w:rPr>
              <w:t>Componente</w:t>
            </w:r>
          </w:p>
        </w:tc>
        <w:tc>
          <w:tcPr>
            <w:tcW w:w="2353" w:type="dxa"/>
            <w:shd w:val="clear" w:color="auto" w:fill="D0D0D0"/>
            <w:tcMar>
              <w:top w:w="50" w:type="dxa"/>
              <w:left w:w="70" w:type="dxa"/>
              <w:bottom w:w="50" w:type="dxa"/>
              <w:right w:w="70" w:type="dxa"/>
            </w:tcMar>
            <w:vAlign w:val="center"/>
          </w:tcPr>
          <w:p w14:paraId="5B9FECB6" w14:textId="77777777" w:rsidR="00FA6ADD" w:rsidRDefault="00000000">
            <w:pPr>
              <w:keepLines/>
              <w:jc w:val="center"/>
            </w:pPr>
            <w:r>
              <w:rPr>
                <w:rFonts w:eastAsia="Times New Roman" w:cs="Times New Roman"/>
                <w:b/>
                <w:sz w:val="15"/>
              </w:rPr>
              <w:t>Desenlaces principales</w:t>
            </w:r>
          </w:p>
        </w:tc>
        <w:tc>
          <w:tcPr>
            <w:tcW w:w="1928" w:type="dxa"/>
            <w:shd w:val="clear" w:color="auto" w:fill="D0D0D0"/>
            <w:tcMar>
              <w:top w:w="50" w:type="dxa"/>
              <w:left w:w="70" w:type="dxa"/>
              <w:bottom w:w="50" w:type="dxa"/>
              <w:right w:w="70" w:type="dxa"/>
            </w:tcMar>
            <w:vAlign w:val="center"/>
          </w:tcPr>
          <w:p w14:paraId="2148F61C" w14:textId="77777777" w:rsidR="00FA6ADD" w:rsidRDefault="00000000">
            <w:pPr>
              <w:keepLines/>
              <w:jc w:val="center"/>
            </w:pPr>
            <w:r>
              <w:rPr>
                <w:rFonts w:eastAsia="Times New Roman" w:cs="Times New Roman"/>
                <w:b/>
                <w:sz w:val="15"/>
              </w:rPr>
              <w:t>Interpretación permitida</w:t>
            </w:r>
          </w:p>
        </w:tc>
        <w:tc>
          <w:tcPr>
            <w:tcW w:w="1956" w:type="dxa"/>
            <w:shd w:val="clear" w:color="auto" w:fill="D0D0D0"/>
            <w:tcMar>
              <w:top w:w="50" w:type="dxa"/>
              <w:left w:w="70" w:type="dxa"/>
              <w:bottom w:w="50" w:type="dxa"/>
              <w:right w:w="70" w:type="dxa"/>
            </w:tcMar>
            <w:vAlign w:val="center"/>
          </w:tcPr>
          <w:p w14:paraId="07164A8B" w14:textId="77777777" w:rsidR="00FA6ADD" w:rsidRDefault="00000000">
            <w:pPr>
              <w:keepLines/>
              <w:jc w:val="center"/>
            </w:pPr>
            <w:r>
              <w:rPr>
                <w:rFonts w:eastAsia="Times New Roman" w:cs="Times New Roman"/>
                <w:b/>
                <w:sz w:val="15"/>
              </w:rPr>
              <w:t>Interpretación excluida</w:t>
            </w:r>
          </w:p>
        </w:tc>
      </w:tr>
      <w:tr w:rsidR="00FA6ADD" w:rsidRPr="004A2C8D" w14:paraId="36E6F052" w14:textId="77777777">
        <w:trPr>
          <w:cantSplit/>
          <w:jc w:val="center"/>
        </w:trPr>
        <w:tc>
          <w:tcPr>
            <w:tcW w:w="1332" w:type="dxa"/>
            <w:tcMar>
              <w:top w:w="50" w:type="dxa"/>
              <w:left w:w="70" w:type="dxa"/>
              <w:bottom w:w="50" w:type="dxa"/>
              <w:right w:w="70" w:type="dxa"/>
            </w:tcMar>
          </w:tcPr>
          <w:p w14:paraId="2E694627" w14:textId="77777777" w:rsidR="00FA6ADD" w:rsidRDefault="00000000">
            <w:r>
              <w:rPr>
                <w:rFonts w:eastAsia="Times New Roman" w:cs="Times New Roman"/>
                <w:sz w:val="15"/>
              </w:rPr>
              <w:t>Multitarea controlada</w:t>
            </w:r>
          </w:p>
        </w:tc>
        <w:tc>
          <w:tcPr>
            <w:tcW w:w="1502" w:type="dxa"/>
            <w:tcMar>
              <w:top w:w="50" w:type="dxa"/>
              <w:left w:w="70" w:type="dxa"/>
              <w:bottom w:w="50" w:type="dxa"/>
              <w:right w:w="70" w:type="dxa"/>
            </w:tcMar>
          </w:tcPr>
          <w:p w14:paraId="17B51093" w14:textId="77777777" w:rsidR="00FA6ADD" w:rsidRDefault="00000000">
            <w:r>
              <w:rPr>
                <w:rFonts w:eastAsia="Times New Roman" w:cs="Times New Roman"/>
                <w:sz w:val="15"/>
              </w:rPr>
              <w:t>OpenMATB: SYSMON, TRACK, COMM y RESMAN</w:t>
            </w:r>
          </w:p>
        </w:tc>
        <w:tc>
          <w:tcPr>
            <w:tcW w:w="2353" w:type="dxa"/>
            <w:tcMar>
              <w:top w:w="50" w:type="dxa"/>
              <w:left w:w="70" w:type="dxa"/>
              <w:bottom w:w="50" w:type="dxa"/>
              <w:right w:w="70" w:type="dxa"/>
            </w:tcMar>
          </w:tcPr>
          <w:p w14:paraId="1849990B" w14:textId="77777777" w:rsidR="00FA6ADD" w:rsidRPr="004A2C8D" w:rsidRDefault="00000000">
            <w:pPr>
              <w:rPr>
                <w:lang w:val="es-CO"/>
              </w:rPr>
            </w:pPr>
            <w:r w:rsidRPr="004A2C8D">
              <w:rPr>
                <w:rFonts w:eastAsia="Times New Roman" w:cs="Times New Roman"/>
                <w:sz w:val="15"/>
                <w:lang w:val="es-CO"/>
              </w:rPr>
              <w:t>Aciertos, latencia, d′ observado, RMSE, tiempo en objetivo y desviación de recursos</w:t>
            </w:r>
          </w:p>
        </w:tc>
        <w:tc>
          <w:tcPr>
            <w:tcW w:w="1928" w:type="dxa"/>
            <w:tcMar>
              <w:top w:w="50" w:type="dxa"/>
              <w:left w:w="70" w:type="dxa"/>
              <w:bottom w:w="50" w:type="dxa"/>
              <w:right w:w="70" w:type="dxa"/>
            </w:tcMar>
          </w:tcPr>
          <w:p w14:paraId="5A80F2F7" w14:textId="77777777" w:rsidR="00FA6ADD" w:rsidRPr="004A2C8D" w:rsidRDefault="00000000">
            <w:pPr>
              <w:rPr>
                <w:lang w:val="es-CO"/>
              </w:rPr>
            </w:pPr>
            <w:r w:rsidRPr="004A2C8D">
              <w:rPr>
                <w:rFonts w:eastAsia="Times New Roman" w:cs="Times New Roman"/>
                <w:sz w:val="15"/>
                <w:lang w:val="es-CO"/>
              </w:rPr>
              <w:t>Desempeño por subtarea bajo una configuración reproducible</w:t>
            </w:r>
          </w:p>
        </w:tc>
        <w:tc>
          <w:tcPr>
            <w:tcW w:w="1956" w:type="dxa"/>
            <w:tcMar>
              <w:top w:w="50" w:type="dxa"/>
              <w:left w:w="70" w:type="dxa"/>
              <w:bottom w:w="50" w:type="dxa"/>
              <w:right w:w="70" w:type="dxa"/>
            </w:tcMar>
          </w:tcPr>
          <w:p w14:paraId="1FF5E1DF" w14:textId="77777777" w:rsidR="00FA6ADD" w:rsidRPr="004A2C8D" w:rsidRDefault="00000000">
            <w:pPr>
              <w:rPr>
                <w:lang w:val="es-CO"/>
              </w:rPr>
            </w:pPr>
            <w:r w:rsidRPr="004A2C8D">
              <w:rPr>
                <w:rFonts w:eastAsia="Times New Roman" w:cs="Times New Roman"/>
                <w:sz w:val="15"/>
                <w:lang w:val="es-CO"/>
              </w:rPr>
              <w:t>Competencia global o aptitud operacional</w:t>
            </w:r>
          </w:p>
        </w:tc>
      </w:tr>
      <w:tr w:rsidR="00FA6ADD" w:rsidRPr="004A2C8D" w14:paraId="672DB264" w14:textId="77777777">
        <w:trPr>
          <w:cantSplit/>
          <w:jc w:val="center"/>
        </w:trPr>
        <w:tc>
          <w:tcPr>
            <w:tcW w:w="1332" w:type="dxa"/>
            <w:shd w:val="clear" w:color="auto" w:fill="F2F2F2"/>
            <w:tcMar>
              <w:top w:w="50" w:type="dxa"/>
              <w:left w:w="70" w:type="dxa"/>
              <w:bottom w:w="50" w:type="dxa"/>
              <w:right w:w="70" w:type="dxa"/>
            </w:tcMar>
          </w:tcPr>
          <w:p w14:paraId="549E3821" w14:textId="77777777" w:rsidR="00FA6ADD" w:rsidRDefault="00000000">
            <w:r>
              <w:rPr>
                <w:rFonts w:eastAsia="Times New Roman" w:cs="Times New Roman"/>
                <w:sz w:val="15"/>
              </w:rPr>
              <w:t>Control manual FPV</w:t>
            </w:r>
          </w:p>
        </w:tc>
        <w:tc>
          <w:tcPr>
            <w:tcW w:w="1502" w:type="dxa"/>
            <w:shd w:val="clear" w:color="auto" w:fill="F2F2F2"/>
            <w:tcMar>
              <w:top w:w="50" w:type="dxa"/>
              <w:left w:w="70" w:type="dxa"/>
              <w:bottom w:w="50" w:type="dxa"/>
              <w:right w:w="70" w:type="dxa"/>
            </w:tcMar>
          </w:tcPr>
          <w:p w14:paraId="54DC289F" w14:textId="77777777" w:rsidR="00FA6ADD" w:rsidRDefault="00000000">
            <w:r>
              <w:rPr>
                <w:rFonts w:eastAsia="Times New Roman" w:cs="Times New Roman"/>
                <w:sz w:val="15"/>
              </w:rPr>
              <w:t>Liftoff en contrarreloj neutral</w:t>
            </w:r>
          </w:p>
        </w:tc>
        <w:tc>
          <w:tcPr>
            <w:tcW w:w="2353" w:type="dxa"/>
            <w:shd w:val="clear" w:color="auto" w:fill="F2F2F2"/>
            <w:tcMar>
              <w:top w:w="50" w:type="dxa"/>
              <w:left w:w="70" w:type="dxa"/>
              <w:bottom w:w="50" w:type="dxa"/>
              <w:right w:w="70" w:type="dxa"/>
            </w:tcMar>
          </w:tcPr>
          <w:p w14:paraId="1D0F456A" w14:textId="77777777" w:rsidR="00FA6ADD" w:rsidRPr="004A2C8D" w:rsidRDefault="00000000">
            <w:pPr>
              <w:rPr>
                <w:lang w:val="es-CO"/>
              </w:rPr>
            </w:pPr>
            <w:r w:rsidRPr="004A2C8D">
              <w:rPr>
                <w:rFonts w:eastAsia="Times New Roman" w:cs="Times New Roman"/>
                <w:sz w:val="15"/>
                <w:lang w:val="es-CO"/>
              </w:rPr>
              <w:t>Vueltas válidas, tiempos, finalización, reinicios, trayectoria, dinámica y entradas</w:t>
            </w:r>
          </w:p>
        </w:tc>
        <w:tc>
          <w:tcPr>
            <w:tcW w:w="1928" w:type="dxa"/>
            <w:shd w:val="clear" w:color="auto" w:fill="F2F2F2"/>
            <w:tcMar>
              <w:top w:w="50" w:type="dxa"/>
              <w:left w:w="70" w:type="dxa"/>
              <w:bottom w:w="50" w:type="dxa"/>
              <w:right w:w="70" w:type="dxa"/>
            </w:tcMar>
          </w:tcPr>
          <w:p w14:paraId="6DE6AB54" w14:textId="77777777" w:rsidR="00FA6ADD" w:rsidRPr="004A2C8D" w:rsidRDefault="00000000">
            <w:pPr>
              <w:rPr>
                <w:lang w:val="es-CO"/>
              </w:rPr>
            </w:pPr>
            <w:r w:rsidRPr="004A2C8D">
              <w:rPr>
                <w:rFonts w:eastAsia="Times New Roman" w:cs="Times New Roman"/>
                <w:sz w:val="15"/>
                <w:lang w:val="es-CO"/>
              </w:rPr>
              <w:t>Cambio longitudinal y estrategia de control en simulación</w:t>
            </w:r>
          </w:p>
        </w:tc>
        <w:tc>
          <w:tcPr>
            <w:tcW w:w="1956" w:type="dxa"/>
            <w:shd w:val="clear" w:color="auto" w:fill="F2F2F2"/>
            <w:tcMar>
              <w:top w:w="50" w:type="dxa"/>
              <w:left w:w="70" w:type="dxa"/>
              <w:bottom w:w="50" w:type="dxa"/>
              <w:right w:w="70" w:type="dxa"/>
            </w:tcMar>
          </w:tcPr>
          <w:p w14:paraId="45479BB8" w14:textId="77777777" w:rsidR="00FA6ADD" w:rsidRPr="004A2C8D" w:rsidRDefault="00000000">
            <w:pPr>
              <w:rPr>
                <w:lang w:val="es-CO"/>
              </w:rPr>
            </w:pPr>
            <w:r w:rsidRPr="004A2C8D">
              <w:rPr>
                <w:rFonts w:eastAsia="Times New Roman" w:cs="Times New Roman"/>
                <w:sz w:val="15"/>
                <w:lang w:val="es-CO"/>
              </w:rPr>
              <w:t>Transferencia automática a vuelo real o combate</w:t>
            </w:r>
          </w:p>
        </w:tc>
      </w:tr>
      <w:tr w:rsidR="00FA6ADD" w:rsidRPr="004A2C8D" w14:paraId="3FA6792F" w14:textId="77777777">
        <w:trPr>
          <w:cantSplit/>
          <w:jc w:val="center"/>
        </w:trPr>
        <w:tc>
          <w:tcPr>
            <w:tcW w:w="1332" w:type="dxa"/>
            <w:tcMar>
              <w:top w:w="50" w:type="dxa"/>
              <w:left w:w="70" w:type="dxa"/>
              <w:bottom w:w="50" w:type="dxa"/>
              <w:right w:w="70" w:type="dxa"/>
            </w:tcMar>
          </w:tcPr>
          <w:p w14:paraId="5F218A48" w14:textId="77777777" w:rsidR="00FA6ADD" w:rsidRDefault="00000000">
            <w:proofErr w:type="spellStart"/>
            <w:r>
              <w:rPr>
                <w:rFonts w:eastAsia="Times New Roman" w:cs="Times New Roman"/>
                <w:sz w:val="15"/>
              </w:rPr>
              <w:t>Supervisión</w:t>
            </w:r>
            <w:proofErr w:type="spellEnd"/>
            <w:r>
              <w:rPr>
                <w:rFonts w:eastAsia="Times New Roman" w:cs="Times New Roman"/>
                <w:sz w:val="15"/>
              </w:rPr>
              <w:t xml:space="preserve"> sUAS</w:t>
            </w:r>
          </w:p>
        </w:tc>
        <w:tc>
          <w:tcPr>
            <w:tcW w:w="1502" w:type="dxa"/>
            <w:tcMar>
              <w:top w:w="50" w:type="dxa"/>
              <w:left w:w="70" w:type="dxa"/>
              <w:bottom w:w="50" w:type="dxa"/>
              <w:right w:w="70" w:type="dxa"/>
            </w:tcMar>
          </w:tcPr>
          <w:p w14:paraId="24C2D1D6" w14:textId="77777777" w:rsidR="00FA6ADD" w:rsidRDefault="00000000">
            <w:r>
              <w:rPr>
                <w:rFonts w:eastAsia="Times New Roman" w:cs="Times New Roman"/>
                <w:sz w:val="15"/>
              </w:rPr>
              <w:t>Misión sintética no cinética</w:t>
            </w:r>
          </w:p>
        </w:tc>
        <w:tc>
          <w:tcPr>
            <w:tcW w:w="2353" w:type="dxa"/>
            <w:tcMar>
              <w:top w:w="50" w:type="dxa"/>
              <w:left w:w="70" w:type="dxa"/>
              <w:bottom w:w="50" w:type="dxa"/>
              <w:right w:w="70" w:type="dxa"/>
            </w:tcMar>
          </w:tcPr>
          <w:p w14:paraId="60F8C4E0" w14:textId="77777777" w:rsidR="00FA6ADD" w:rsidRPr="004A2C8D" w:rsidRDefault="00000000">
            <w:pPr>
              <w:rPr>
                <w:lang w:val="es-CO"/>
              </w:rPr>
            </w:pPr>
            <w:r w:rsidRPr="004A2C8D">
              <w:rPr>
                <w:rFonts w:eastAsia="Times New Roman" w:cs="Times New Roman"/>
                <w:sz w:val="15"/>
                <w:lang w:val="es-CO"/>
              </w:rPr>
              <w:t>Respuestas, alertas, prioridades, eventos y decisiones</w:t>
            </w:r>
          </w:p>
        </w:tc>
        <w:tc>
          <w:tcPr>
            <w:tcW w:w="1928" w:type="dxa"/>
            <w:tcMar>
              <w:top w:w="50" w:type="dxa"/>
              <w:left w:w="70" w:type="dxa"/>
              <w:bottom w:w="50" w:type="dxa"/>
              <w:right w:w="70" w:type="dxa"/>
            </w:tcMar>
          </w:tcPr>
          <w:p w14:paraId="42A59FD0" w14:textId="77777777" w:rsidR="00FA6ADD" w:rsidRPr="004A2C8D" w:rsidRDefault="00000000">
            <w:pPr>
              <w:rPr>
                <w:lang w:val="es-CO"/>
              </w:rPr>
            </w:pPr>
            <w:r w:rsidRPr="004A2C8D">
              <w:rPr>
                <w:rFonts w:eastAsia="Times New Roman" w:cs="Times New Roman"/>
                <w:sz w:val="15"/>
                <w:lang w:val="es-CO"/>
              </w:rPr>
              <w:t>Conducta de supervisión en escenario simulado</w:t>
            </w:r>
          </w:p>
        </w:tc>
        <w:tc>
          <w:tcPr>
            <w:tcW w:w="1956" w:type="dxa"/>
            <w:tcMar>
              <w:top w:w="50" w:type="dxa"/>
              <w:left w:w="70" w:type="dxa"/>
              <w:bottom w:w="50" w:type="dxa"/>
              <w:right w:w="70" w:type="dxa"/>
            </w:tcMar>
          </w:tcPr>
          <w:p w14:paraId="66F0D19E" w14:textId="77777777" w:rsidR="00FA6ADD" w:rsidRPr="004A2C8D" w:rsidRDefault="00000000">
            <w:pPr>
              <w:rPr>
                <w:lang w:val="es-CO"/>
              </w:rPr>
            </w:pPr>
            <w:r w:rsidRPr="004A2C8D">
              <w:rPr>
                <w:rFonts w:eastAsia="Times New Roman" w:cs="Times New Roman"/>
                <w:sz w:val="15"/>
                <w:lang w:val="es-CO"/>
              </w:rPr>
              <w:t>Mando real, control de aeronaves o eficacia militar</w:t>
            </w:r>
          </w:p>
        </w:tc>
      </w:tr>
      <w:tr w:rsidR="00FA6ADD" w:rsidRPr="004A2C8D" w14:paraId="5FDCCC99" w14:textId="77777777">
        <w:trPr>
          <w:cantSplit/>
          <w:jc w:val="center"/>
        </w:trPr>
        <w:tc>
          <w:tcPr>
            <w:tcW w:w="1332" w:type="dxa"/>
            <w:shd w:val="clear" w:color="auto" w:fill="F2F2F2"/>
            <w:tcMar>
              <w:top w:w="50" w:type="dxa"/>
              <w:left w:w="70" w:type="dxa"/>
              <w:bottom w:w="50" w:type="dxa"/>
              <w:right w:w="70" w:type="dxa"/>
            </w:tcMar>
          </w:tcPr>
          <w:p w14:paraId="7083D14B" w14:textId="77777777" w:rsidR="00FA6ADD" w:rsidRDefault="00000000">
            <w:r>
              <w:rPr>
                <w:rFonts w:eastAsia="Times New Roman" w:cs="Times New Roman"/>
                <w:sz w:val="15"/>
              </w:rPr>
              <w:t>Carga mental</w:t>
            </w:r>
          </w:p>
        </w:tc>
        <w:tc>
          <w:tcPr>
            <w:tcW w:w="1502" w:type="dxa"/>
            <w:shd w:val="clear" w:color="auto" w:fill="F2F2F2"/>
            <w:tcMar>
              <w:top w:w="50" w:type="dxa"/>
              <w:left w:w="70" w:type="dxa"/>
              <w:bottom w:w="50" w:type="dxa"/>
              <w:right w:w="70" w:type="dxa"/>
            </w:tcMar>
          </w:tcPr>
          <w:p w14:paraId="0C01268E" w14:textId="77777777" w:rsidR="00FA6ADD" w:rsidRPr="004A2C8D" w:rsidRDefault="00000000">
            <w:pPr>
              <w:rPr>
                <w:lang w:val="es-CO"/>
              </w:rPr>
            </w:pPr>
            <w:r w:rsidRPr="004A2C8D">
              <w:rPr>
                <w:rFonts w:eastAsia="Times New Roman" w:cs="Times New Roman"/>
                <w:sz w:val="15"/>
                <w:lang w:val="es-CO"/>
              </w:rPr>
              <w:t>NASA-TLX, ISA y Bedford</w:t>
            </w:r>
          </w:p>
        </w:tc>
        <w:tc>
          <w:tcPr>
            <w:tcW w:w="2353" w:type="dxa"/>
            <w:shd w:val="clear" w:color="auto" w:fill="F2F2F2"/>
            <w:tcMar>
              <w:top w:w="50" w:type="dxa"/>
              <w:left w:w="70" w:type="dxa"/>
              <w:bottom w:w="50" w:type="dxa"/>
              <w:right w:w="70" w:type="dxa"/>
            </w:tcMar>
          </w:tcPr>
          <w:p w14:paraId="2330D640" w14:textId="77777777" w:rsidR="00FA6ADD" w:rsidRPr="004A2C8D" w:rsidRDefault="00000000">
            <w:pPr>
              <w:rPr>
                <w:lang w:val="es-CO"/>
              </w:rPr>
            </w:pPr>
            <w:r w:rsidRPr="004A2C8D">
              <w:rPr>
                <w:rFonts w:eastAsia="Times New Roman" w:cs="Times New Roman"/>
                <w:sz w:val="15"/>
                <w:lang w:val="es-CO"/>
              </w:rPr>
              <w:t>Puntuaciones totales/subescalas y series instantáneas</w:t>
            </w:r>
          </w:p>
        </w:tc>
        <w:tc>
          <w:tcPr>
            <w:tcW w:w="1928" w:type="dxa"/>
            <w:shd w:val="clear" w:color="auto" w:fill="F2F2F2"/>
            <w:tcMar>
              <w:top w:w="50" w:type="dxa"/>
              <w:left w:w="70" w:type="dxa"/>
              <w:bottom w:w="50" w:type="dxa"/>
              <w:right w:w="70" w:type="dxa"/>
            </w:tcMar>
          </w:tcPr>
          <w:p w14:paraId="239825BA" w14:textId="77777777" w:rsidR="00FA6ADD" w:rsidRPr="004A2C8D" w:rsidRDefault="00000000">
            <w:pPr>
              <w:rPr>
                <w:lang w:val="es-CO"/>
              </w:rPr>
            </w:pPr>
            <w:r w:rsidRPr="004A2C8D">
              <w:rPr>
                <w:rFonts w:eastAsia="Times New Roman" w:cs="Times New Roman"/>
                <w:sz w:val="15"/>
                <w:lang w:val="es-CO"/>
              </w:rPr>
              <w:t>Experiencia subjetiva de demanda y esfuerzo</w:t>
            </w:r>
          </w:p>
        </w:tc>
        <w:tc>
          <w:tcPr>
            <w:tcW w:w="1956" w:type="dxa"/>
            <w:shd w:val="clear" w:color="auto" w:fill="F2F2F2"/>
            <w:tcMar>
              <w:top w:w="50" w:type="dxa"/>
              <w:left w:w="70" w:type="dxa"/>
              <w:bottom w:w="50" w:type="dxa"/>
              <w:right w:w="70" w:type="dxa"/>
            </w:tcMar>
          </w:tcPr>
          <w:p w14:paraId="1EEC0732" w14:textId="77777777" w:rsidR="00FA6ADD" w:rsidRPr="004A2C8D" w:rsidRDefault="00000000">
            <w:pPr>
              <w:rPr>
                <w:lang w:val="es-CO"/>
              </w:rPr>
            </w:pPr>
            <w:r w:rsidRPr="004A2C8D">
              <w:rPr>
                <w:rFonts w:eastAsia="Times New Roman" w:cs="Times New Roman"/>
                <w:sz w:val="15"/>
                <w:lang w:val="es-CO"/>
              </w:rPr>
              <w:t>Capacidad cognitiva, diagnóstico o fatiga por sí solas</w:t>
            </w:r>
          </w:p>
        </w:tc>
      </w:tr>
      <w:tr w:rsidR="00FA6ADD" w:rsidRPr="004A2C8D" w14:paraId="7B1E953B" w14:textId="77777777">
        <w:trPr>
          <w:cantSplit/>
          <w:jc w:val="center"/>
        </w:trPr>
        <w:tc>
          <w:tcPr>
            <w:tcW w:w="1332" w:type="dxa"/>
            <w:tcMar>
              <w:top w:w="50" w:type="dxa"/>
              <w:left w:w="70" w:type="dxa"/>
              <w:bottom w:w="50" w:type="dxa"/>
              <w:right w:w="70" w:type="dxa"/>
            </w:tcMar>
          </w:tcPr>
          <w:p w14:paraId="34A1F5B4" w14:textId="77777777" w:rsidR="00FA6ADD" w:rsidRDefault="00000000">
            <w:proofErr w:type="spellStart"/>
            <w:r>
              <w:rPr>
                <w:rFonts w:eastAsia="Times New Roman" w:cs="Times New Roman"/>
                <w:sz w:val="15"/>
              </w:rPr>
              <w:t>Conciencia</w:t>
            </w:r>
            <w:proofErr w:type="spellEnd"/>
            <w:r>
              <w:rPr>
                <w:rFonts w:eastAsia="Times New Roman" w:cs="Times New Roman"/>
                <w:sz w:val="15"/>
              </w:rPr>
              <w:t xml:space="preserve"> </w:t>
            </w:r>
            <w:proofErr w:type="spellStart"/>
            <w:r>
              <w:rPr>
                <w:rFonts w:eastAsia="Times New Roman" w:cs="Times New Roman"/>
                <w:sz w:val="15"/>
              </w:rPr>
              <w:t>situacional</w:t>
            </w:r>
            <w:proofErr w:type="spellEnd"/>
          </w:p>
        </w:tc>
        <w:tc>
          <w:tcPr>
            <w:tcW w:w="1502" w:type="dxa"/>
            <w:tcMar>
              <w:top w:w="50" w:type="dxa"/>
              <w:left w:w="70" w:type="dxa"/>
              <w:bottom w:w="50" w:type="dxa"/>
              <w:right w:w="70" w:type="dxa"/>
            </w:tcMar>
          </w:tcPr>
          <w:p w14:paraId="445BD85A" w14:textId="77777777" w:rsidR="00FA6ADD" w:rsidRDefault="00000000">
            <w:r>
              <w:rPr>
                <w:rFonts w:eastAsia="Times New Roman" w:cs="Times New Roman"/>
                <w:sz w:val="15"/>
              </w:rPr>
              <w:t>SAGAT con congelamiento</w:t>
            </w:r>
          </w:p>
        </w:tc>
        <w:tc>
          <w:tcPr>
            <w:tcW w:w="2353" w:type="dxa"/>
            <w:tcMar>
              <w:top w:w="50" w:type="dxa"/>
              <w:left w:w="70" w:type="dxa"/>
              <w:bottom w:w="50" w:type="dxa"/>
              <w:right w:w="70" w:type="dxa"/>
            </w:tcMar>
          </w:tcPr>
          <w:p w14:paraId="1287C5FF" w14:textId="77777777" w:rsidR="00FA6ADD" w:rsidRPr="004A2C8D" w:rsidRDefault="00000000">
            <w:pPr>
              <w:rPr>
                <w:lang w:val="es-CO"/>
              </w:rPr>
            </w:pPr>
            <w:r w:rsidRPr="004A2C8D">
              <w:rPr>
                <w:rFonts w:eastAsia="Times New Roman" w:cs="Times New Roman"/>
                <w:sz w:val="15"/>
                <w:lang w:val="es-CO"/>
              </w:rPr>
              <w:t>Exactitud y latencia por nivel/pregunta</w:t>
            </w:r>
          </w:p>
        </w:tc>
        <w:tc>
          <w:tcPr>
            <w:tcW w:w="1928" w:type="dxa"/>
            <w:tcMar>
              <w:top w:w="50" w:type="dxa"/>
              <w:left w:w="70" w:type="dxa"/>
              <w:bottom w:w="50" w:type="dxa"/>
              <w:right w:w="70" w:type="dxa"/>
            </w:tcMar>
          </w:tcPr>
          <w:p w14:paraId="7DC37E2E" w14:textId="77777777" w:rsidR="00FA6ADD" w:rsidRPr="004A2C8D" w:rsidRDefault="00000000">
            <w:pPr>
              <w:rPr>
                <w:lang w:val="es-CO"/>
              </w:rPr>
            </w:pPr>
            <w:r w:rsidRPr="004A2C8D">
              <w:rPr>
                <w:rFonts w:eastAsia="Times New Roman" w:cs="Times New Roman"/>
                <w:sz w:val="15"/>
                <w:lang w:val="es-CO"/>
              </w:rPr>
              <w:t>Conocimiento del estado del escenario en el momento de la sonda</w:t>
            </w:r>
          </w:p>
        </w:tc>
        <w:tc>
          <w:tcPr>
            <w:tcW w:w="1956" w:type="dxa"/>
            <w:tcMar>
              <w:top w:w="50" w:type="dxa"/>
              <w:left w:w="70" w:type="dxa"/>
              <w:bottom w:w="50" w:type="dxa"/>
              <w:right w:w="70" w:type="dxa"/>
            </w:tcMar>
          </w:tcPr>
          <w:p w14:paraId="4FCCB3E7" w14:textId="77777777" w:rsidR="00FA6ADD" w:rsidRPr="004A2C8D" w:rsidRDefault="00000000">
            <w:pPr>
              <w:rPr>
                <w:lang w:val="es-CO"/>
              </w:rPr>
            </w:pPr>
            <w:r w:rsidRPr="004A2C8D">
              <w:rPr>
                <w:rFonts w:eastAsia="Times New Roman" w:cs="Times New Roman"/>
                <w:sz w:val="15"/>
                <w:lang w:val="es-CO"/>
              </w:rPr>
              <w:t>Conciencia situacional operacional sin validación externa</w:t>
            </w:r>
          </w:p>
        </w:tc>
      </w:tr>
      <w:tr w:rsidR="00FA6ADD" w:rsidRPr="004A2C8D" w14:paraId="3527F4A7" w14:textId="77777777">
        <w:trPr>
          <w:cantSplit/>
          <w:jc w:val="center"/>
        </w:trPr>
        <w:tc>
          <w:tcPr>
            <w:tcW w:w="1332" w:type="dxa"/>
            <w:shd w:val="clear" w:color="auto" w:fill="F2F2F2"/>
            <w:tcMar>
              <w:top w:w="50" w:type="dxa"/>
              <w:left w:w="70" w:type="dxa"/>
              <w:bottom w:w="50" w:type="dxa"/>
              <w:right w:w="70" w:type="dxa"/>
            </w:tcMar>
          </w:tcPr>
          <w:p w14:paraId="5F500359" w14:textId="77777777" w:rsidR="00FA6ADD" w:rsidRDefault="00000000">
            <w:r>
              <w:rPr>
                <w:rFonts w:eastAsia="Times New Roman" w:cs="Times New Roman"/>
                <w:sz w:val="15"/>
              </w:rPr>
              <w:t xml:space="preserve">Estado </w:t>
            </w:r>
            <w:proofErr w:type="spellStart"/>
            <w:r>
              <w:rPr>
                <w:rFonts w:eastAsia="Times New Roman" w:cs="Times New Roman"/>
                <w:sz w:val="15"/>
              </w:rPr>
              <w:t>fisiológico</w:t>
            </w:r>
            <w:proofErr w:type="spellEnd"/>
          </w:p>
        </w:tc>
        <w:tc>
          <w:tcPr>
            <w:tcW w:w="1502" w:type="dxa"/>
            <w:shd w:val="clear" w:color="auto" w:fill="F2F2F2"/>
            <w:tcMar>
              <w:top w:w="50" w:type="dxa"/>
              <w:left w:w="70" w:type="dxa"/>
              <w:bottom w:w="50" w:type="dxa"/>
              <w:right w:w="70" w:type="dxa"/>
            </w:tcMar>
          </w:tcPr>
          <w:p w14:paraId="1B9D648C" w14:textId="77777777" w:rsidR="00FA6ADD" w:rsidRPr="004A2C8D" w:rsidRDefault="00000000">
            <w:pPr>
              <w:rPr>
                <w:lang w:val="es-CO"/>
              </w:rPr>
            </w:pPr>
            <w:r w:rsidRPr="004A2C8D">
              <w:rPr>
                <w:rFonts w:eastAsia="Times New Roman" w:cs="Times New Roman"/>
                <w:sz w:val="15"/>
                <w:lang w:val="es-CO"/>
              </w:rPr>
              <w:t>Polar H10 y marcadores de fase</w:t>
            </w:r>
          </w:p>
        </w:tc>
        <w:tc>
          <w:tcPr>
            <w:tcW w:w="2353" w:type="dxa"/>
            <w:shd w:val="clear" w:color="auto" w:fill="F2F2F2"/>
            <w:tcMar>
              <w:top w:w="50" w:type="dxa"/>
              <w:left w:w="70" w:type="dxa"/>
              <w:bottom w:w="50" w:type="dxa"/>
              <w:right w:w="70" w:type="dxa"/>
            </w:tcMar>
          </w:tcPr>
          <w:p w14:paraId="002701F7" w14:textId="77777777" w:rsidR="00FA6ADD" w:rsidRPr="004A2C8D" w:rsidRDefault="00000000">
            <w:pPr>
              <w:rPr>
                <w:lang w:val="es-CO"/>
              </w:rPr>
            </w:pPr>
            <w:r w:rsidRPr="004A2C8D">
              <w:rPr>
                <w:rFonts w:eastAsia="Times New Roman" w:cs="Times New Roman"/>
                <w:sz w:val="15"/>
                <w:lang w:val="es-CO"/>
              </w:rPr>
              <w:t xml:space="preserve">FC, RR, </w:t>
            </w:r>
            <w:proofErr w:type="spellStart"/>
            <w:r w:rsidRPr="004A2C8D">
              <w:rPr>
                <w:rFonts w:eastAsia="Times New Roman" w:cs="Times New Roman"/>
                <w:sz w:val="15"/>
                <w:lang w:val="es-CO"/>
              </w:rPr>
              <w:t>lnRMSSD</w:t>
            </w:r>
            <w:proofErr w:type="spellEnd"/>
            <w:r w:rsidRPr="004A2C8D">
              <w:rPr>
                <w:rFonts w:eastAsia="Times New Roman" w:cs="Times New Roman"/>
                <w:sz w:val="15"/>
                <w:lang w:val="es-CO"/>
              </w:rPr>
              <w:t>, cambios por fase, artefactos y cobertura</w:t>
            </w:r>
          </w:p>
        </w:tc>
        <w:tc>
          <w:tcPr>
            <w:tcW w:w="1928" w:type="dxa"/>
            <w:shd w:val="clear" w:color="auto" w:fill="F2F2F2"/>
            <w:tcMar>
              <w:top w:w="50" w:type="dxa"/>
              <w:left w:w="70" w:type="dxa"/>
              <w:bottom w:w="50" w:type="dxa"/>
              <w:right w:w="70" w:type="dxa"/>
            </w:tcMar>
          </w:tcPr>
          <w:p w14:paraId="73830F8F" w14:textId="77777777" w:rsidR="00FA6ADD" w:rsidRPr="004A2C8D" w:rsidRDefault="00000000">
            <w:pPr>
              <w:rPr>
                <w:lang w:val="es-CO"/>
              </w:rPr>
            </w:pPr>
            <w:r w:rsidRPr="004A2C8D">
              <w:rPr>
                <w:rFonts w:eastAsia="Times New Roman" w:cs="Times New Roman"/>
                <w:sz w:val="15"/>
                <w:lang w:val="es-CO"/>
              </w:rPr>
              <w:t>Respuesta cardiovascular contextual e intraindividual</w:t>
            </w:r>
          </w:p>
        </w:tc>
        <w:tc>
          <w:tcPr>
            <w:tcW w:w="1956" w:type="dxa"/>
            <w:shd w:val="clear" w:color="auto" w:fill="F2F2F2"/>
            <w:tcMar>
              <w:top w:w="50" w:type="dxa"/>
              <w:left w:w="70" w:type="dxa"/>
              <w:bottom w:w="50" w:type="dxa"/>
              <w:right w:w="70" w:type="dxa"/>
            </w:tcMar>
          </w:tcPr>
          <w:p w14:paraId="05F8CEF3" w14:textId="77777777" w:rsidR="00FA6ADD" w:rsidRPr="004A2C8D" w:rsidRDefault="00000000">
            <w:pPr>
              <w:rPr>
                <w:lang w:val="es-CO"/>
              </w:rPr>
            </w:pPr>
            <w:r w:rsidRPr="004A2C8D">
              <w:rPr>
                <w:rFonts w:eastAsia="Times New Roman" w:cs="Times New Roman"/>
                <w:sz w:val="15"/>
                <w:lang w:val="es-CO"/>
              </w:rPr>
              <w:t>Balance autonómico, alerta de fatiga o aptitud aeromédica</w:t>
            </w:r>
          </w:p>
        </w:tc>
      </w:tr>
      <w:tr w:rsidR="00FA6ADD" w:rsidRPr="004A2C8D" w14:paraId="0704A7F3" w14:textId="77777777">
        <w:trPr>
          <w:cantSplit/>
          <w:jc w:val="center"/>
        </w:trPr>
        <w:tc>
          <w:tcPr>
            <w:tcW w:w="1332" w:type="dxa"/>
            <w:tcMar>
              <w:top w:w="50" w:type="dxa"/>
              <w:left w:w="70" w:type="dxa"/>
              <w:bottom w:w="50" w:type="dxa"/>
              <w:right w:w="70" w:type="dxa"/>
            </w:tcMar>
          </w:tcPr>
          <w:p w14:paraId="58E1833B" w14:textId="77777777" w:rsidR="00FA6ADD" w:rsidRDefault="00000000">
            <w:proofErr w:type="spellStart"/>
            <w:r>
              <w:rPr>
                <w:rFonts w:eastAsia="Times New Roman" w:cs="Times New Roman"/>
                <w:sz w:val="15"/>
              </w:rPr>
              <w:t>Aprendizaje</w:t>
            </w:r>
            <w:proofErr w:type="spellEnd"/>
            <w:r>
              <w:rPr>
                <w:rFonts w:eastAsia="Times New Roman" w:cs="Times New Roman"/>
                <w:sz w:val="15"/>
              </w:rPr>
              <w:t xml:space="preserve"> y </w:t>
            </w:r>
            <w:proofErr w:type="spellStart"/>
            <w:r>
              <w:rPr>
                <w:rFonts w:eastAsia="Times New Roman" w:cs="Times New Roman"/>
                <w:sz w:val="15"/>
              </w:rPr>
              <w:t>estabilidad</w:t>
            </w:r>
            <w:proofErr w:type="spellEnd"/>
          </w:p>
        </w:tc>
        <w:tc>
          <w:tcPr>
            <w:tcW w:w="1502" w:type="dxa"/>
            <w:tcMar>
              <w:top w:w="50" w:type="dxa"/>
              <w:left w:w="70" w:type="dxa"/>
              <w:bottom w:w="50" w:type="dxa"/>
              <w:right w:w="70" w:type="dxa"/>
            </w:tcMar>
          </w:tcPr>
          <w:p w14:paraId="5E746318" w14:textId="77777777" w:rsidR="00FA6ADD" w:rsidRPr="004A2C8D" w:rsidRDefault="00000000">
            <w:pPr>
              <w:rPr>
                <w:lang w:val="es-CO"/>
              </w:rPr>
            </w:pPr>
            <w:r w:rsidRPr="004A2C8D">
              <w:rPr>
                <w:rFonts w:eastAsia="Times New Roman" w:cs="Times New Roman"/>
                <w:sz w:val="15"/>
                <w:lang w:val="es-CO"/>
              </w:rPr>
              <w:t>Visitas repetidas y consola longitudinal</w:t>
            </w:r>
          </w:p>
        </w:tc>
        <w:tc>
          <w:tcPr>
            <w:tcW w:w="2353" w:type="dxa"/>
            <w:tcMar>
              <w:top w:w="50" w:type="dxa"/>
              <w:left w:w="70" w:type="dxa"/>
              <w:bottom w:w="50" w:type="dxa"/>
              <w:right w:w="70" w:type="dxa"/>
            </w:tcMar>
          </w:tcPr>
          <w:p w14:paraId="320A88CE" w14:textId="77777777" w:rsidR="00FA6ADD" w:rsidRPr="004A2C8D" w:rsidRDefault="00000000">
            <w:pPr>
              <w:rPr>
                <w:lang w:val="es-CO"/>
              </w:rPr>
            </w:pPr>
            <w:r w:rsidRPr="004A2C8D">
              <w:rPr>
                <w:rFonts w:eastAsia="Times New Roman" w:cs="Times New Roman"/>
                <w:sz w:val="15"/>
                <w:lang w:val="es-CO"/>
              </w:rPr>
              <w:t>Pendientes por visita, consistencia, costo de doble tarea y recuperación</w:t>
            </w:r>
          </w:p>
        </w:tc>
        <w:tc>
          <w:tcPr>
            <w:tcW w:w="1928" w:type="dxa"/>
            <w:tcMar>
              <w:top w:w="50" w:type="dxa"/>
              <w:left w:w="70" w:type="dxa"/>
              <w:bottom w:w="50" w:type="dxa"/>
              <w:right w:w="70" w:type="dxa"/>
            </w:tcMar>
          </w:tcPr>
          <w:p w14:paraId="592F0EB1" w14:textId="77777777" w:rsidR="00FA6ADD" w:rsidRDefault="00000000">
            <w:proofErr w:type="spellStart"/>
            <w:r>
              <w:rPr>
                <w:rFonts w:eastAsia="Times New Roman" w:cs="Times New Roman"/>
                <w:sz w:val="15"/>
              </w:rPr>
              <w:t>Trayectoria</w:t>
            </w:r>
            <w:proofErr w:type="spellEnd"/>
            <w:r>
              <w:rPr>
                <w:rFonts w:eastAsia="Times New Roman" w:cs="Times New Roman"/>
                <w:sz w:val="15"/>
              </w:rPr>
              <w:t xml:space="preserve"> intraindividual con </w:t>
            </w:r>
            <w:proofErr w:type="spellStart"/>
            <w:r>
              <w:rPr>
                <w:rFonts w:eastAsia="Times New Roman" w:cs="Times New Roman"/>
                <w:sz w:val="15"/>
              </w:rPr>
              <w:t>incertidumbre</w:t>
            </w:r>
            <w:proofErr w:type="spellEnd"/>
          </w:p>
        </w:tc>
        <w:tc>
          <w:tcPr>
            <w:tcW w:w="1956" w:type="dxa"/>
            <w:tcMar>
              <w:top w:w="50" w:type="dxa"/>
              <w:left w:w="70" w:type="dxa"/>
              <w:bottom w:w="50" w:type="dxa"/>
              <w:right w:w="70" w:type="dxa"/>
            </w:tcMar>
          </w:tcPr>
          <w:p w14:paraId="7D537D8E" w14:textId="77777777" w:rsidR="00FA6ADD" w:rsidRPr="004A2C8D" w:rsidRDefault="00000000">
            <w:pPr>
              <w:rPr>
                <w:lang w:val="es-CO"/>
              </w:rPr>
            </w:pPr>
            <w:r w:rsidRPr="004A2C8D">
              <w:rPr>
                <w:rFonts w:eastAsia="Times New Roman" w:cs="Times New Roman"/>
                <w:sz w:val="15"/>
                <w:lang w:val="es-CO"/>
              </w:rPr>
              <w:t>Norma poblacional o certificación individual</w:t>
            </w:r>
          </w:p>
        </w:tc>
      </w:tr>
      <w:tr w:rsidR="00FA6ADD" w:rsidRPr="004A2C8D" w14:paraId="08B41CA8" w14:textId="77777777">
        <w:trPr>
          <w:cantSplit/>
          <w:jc w:val="center"/>
        </w:trPr>
        <w:tc>
          <w:tcPr>
            <w:tcW w:w="1332" w:type="dxa"/>
            <w:shd w:val="clear" w:color="auto" w:fill="F2F2F2"/>
            <w:tcMar>
              <w:top w:w="50" w:type="dxa"/>
              <w:left w:w="70" w:type="dxa"/>
              <w:bottom w:w="50" w:type="dxa"/>
              <w:right w:w="70" w:type="dxa"/>
            </w:tcMar>
          </w:tcPr>
          <w:p w14:paraId="58ABD664" w14:textId="77777777" w:rsidR="00FA6ADD" w:rsidRDefault="00000000">
            <w:proofErr w:type="spellStart"/>
            <w:r>
              <w:rPr>
                <w:rFonts w:eastAsia="Times New Roman" w:cs="Times New Roman"/>
                <w:sz w:val="15"/>
              </w:rPr>
              <w:t>Reproducibilidad</w:t>
            </w:r>
            <w:proofErr w:type="spellEnd"/>
          </w:p>
        </w:tc>
        <w:tc>
          <w:tcPr>
            <w:tcW w:w="1502" w:type="dxa"/>
            <w:shd w:val="clear" w:color="auto" w:fill="F2F2F2"/>
            <w:tcMar>
              <w:top w:w="50" w:type="dxa"/>
              <w:left w:w="70" w:type="dxa"/>
              <w:bottom w:w="50" w:type="dxa"/>
              <w:right w:w="70" w:type="dxa"/>
            </w:tcMar>
          </w:tcPr>
          <w:p w14:paraId="534C8E3F" w14:textId="77777777" w:rsidR="00FA6ADD" w:rsidRPr="004A2C8D" w:rsidRDefault="00000000">
            <w:pPr>
              <w:rPr>
                <w:lang w:val="es-CO"/>
              </w:rPr>
            </w:pPr>
            <w:r w:rsidRPr="004A2C8D">
              <w:rPr>
                <w:rFonts w:eastAsia="Times New Roman" w:cs="Times New Roman"/>
                <w:sz w:val="15"/>
                <w:lang w:val="es-CO"/>
              </w:rPr>
              <w:t>Manifiestos, hashes, eventos y reproducción</w:t>
            </w:r>
          </w:p>
        </w:tc>
        <w:tc>
          <w:tcPr>
            <w:tcW w:w="2353" w:type="dxa"/>
            <w:shd w:val="clear" w:color="auto" w:fill="F2F2F2"/>
            <w:tcMar>
              <w:top w:w="50" w:type="dxa"/>
              <w:left w:w="70" w:type="dxa"/>
              <w:bottom w:w="50" w:type="dxa"/>
              <w:right w:w="70" w:type="dxa"/>
            </w:tcMar>
          </w:tcPr>
          <w:p w14:paraId="3AF9F183" w14:textId="77777777" w:rsidR="00FA6ADD" w:rsidRPr="004A2C8D" w:rsidRDefault="00000000">
            <w:pPr>
              <w:rPr>
                <w:lang w:val="es-CO"/>
              </w:rPr>
            </w:pPr>
            <w:r w:rsidRPr="004A2C8D">
              <w:rPr>
                <w:rFonts w:eastAsia="Times New Roman" w:cs="Times New Roman"/>
                <w:sz w:val="15"/>
                <w:lang w:val="es-CO"/>
              </w:rPr>
              <w:t>Identidad de versión, escenario, equipo, archivo y métrica</w:t>
            </w:r>
          </w:p>
        </w:tc>
        <w:tc>
          <w:tcPr>
            <w:tcW w:w="1928" w:type="dxa"/>
            <w:shd w:val="clear" w:color="auto" w:fill="F2F2F2"/>
            <w:tcMar>
              <w:top w:w="50" w:type="dxa"/>
              <w:left w:w="70" w:type="dxa"/>
              <w:bottom w:w="50" w:type="dxa"/>
              <w:right w:w="70" w:type="dxa"/>
            </w:tcMar>
          </w:tcPr>
          <w:p w14:paraId="21B2F446" w14:textId="77777777" w:rsidR="00FA6ADD" w:rsidRPr="004A2C8D" w:rsidRDefault="00000000">
            <w:pPr>
              <w:rPr>
                <w:lang w:val="es-CO"/>
              </w:rPr>
            </w:pPr>
            <w:r w:rsidRPr="004A2C8D">
              <w:rPr>
                <w:rFonts w:eastAsia="Times New Roman" w:cs="Times New Roman"/>
                <w:sz w:val="15"/>
                <w:lang w:val="es-CO"/>
              </w:rPr>
              <w:t xml:space="preserve">Auditoría y </w:t>
            </w:r>
            <w:proofErr w:type="spellStart"/>
            <w:r w:rsidRPr="004A2C8D">
              <w:rPr>
                <w:rFonts w:eastAsia="Times New Roman" w:cs="Times New Roman"/>
                <w:sz w:val="15"/>
                <w:lang w:val="es-CO"/>
              </w:rPr>
              <w:t>rederivación</w:t>
            </w:r>
            <w:proofErr w:type="spellEnd"/>
            <w:r w:rsidRPr="004A2C8D">
              <w:rPr>
                <w:rFonts w:eastAsia="Times New Roman" w:cs="Times New Roman"/>
                <w:sz w:val="15"/>
                <w:lang w:val="es-CO"/>
              </w:rPr>
              <w:t xml:space="preserve"> del resultado</w:t>
            </w:r>
          </w:p>
        </w:tc>
        <w:tc>
          <w:tcPr>
            <w:tcW w:w="1956" w:type="dxa"/>
            <w:shd w:val="clear" w:color="auto" w:fill="F2F2F2"/>
            <w:tcMar>
              <w:top w:w="50" w:type="dxa"/>
              <w:left w:w="70" w:type="dxa"/>
              <w:bottom w:w="50" w:type="dxa"/>
              <w:right w:w="70" w:type="dxa"/>
            </w:tcMar>
          </w:tcPr>
          <w:p w14:paraId="6951F86B" w14:textId="77777777" w:rsidR="00FA6ADD" w:rsidRPr="004A2C8D" w:rsidRDefault="00000000">
            <w:pPr>
              <w:rPr>
                <w:lang w:val="es-CO"/>
              </w:rPr>
            </w:pPr>
            <w:r w:rsidRPr="004A2C8D">
              <w:rPr>
                <w:rFonts w:eastAsia="Times New Roman" w:cs="Times New Roman"/>
                <w:sz w:val="15"/>
                <w:lang w:val="es-CO"/>
              </w:rPr>
              <w:t>Validez humana inferida a partir de pruebas de software</w:t>
            </w:r>
          </w:p>
        </w:tc>
      </w:tr>
    </w:tbl>
    <w:p w14:paraId="00BC0F35" w14:textId="77777777" w:rsidR="00FA6ADD" w:rsidRPr="004A2C8D" w:rsidRDefault="00000000">
      <w:pPr>
        <w:keepLines/>
        <w:spacing w:before="20" w:after="80"/>
        <w:jc w:val="both"/>
        <w:rPr>
          <w:lang w:val="es-CO"/>
        </w:rPr>
      </w:pPr>
      <w:r w:rsidRPr="004A2C8D">
        <w:rPr>
          <w:rFonts w:eastAsia="Times New Roman" w:cs="Times New Roman"/>
          <w:sz w:val="16"/>
          <w:lang w:val="es-CO"/>
        </w:rPr>
        <w:t>Nota. FC: frecuencia cardiaca; RR: intervalos entre latidos; VFC: variabilidad de la frecuencia cardiaca; RMSE: raíz del error cuadrático medio.</w:t>
      </w:r>
    </w:p>
    <w:p w14:paraId="49A0243E" w14:textId="77777777" w:rsidR="00FA6ADD" w:rsidRPr="004A2C8D" w:rsidRDefault="00000000">
      <w:pPr>
        <w:pStyle w:val="Heading2"/>
        <w:spacing w:before="80" w:after="40"/>
        <w:rPr>
          <w:lang w:val="es-CO"/>
        </w:rPr>
      </w:pPr>
      <w:r w:rsidRPr="004A2C8D">
        <w:rPr>
          <w:rFonts w:ascii="Times New Roman" w:eastAsia="Times New Roman" w:hAnsi="Times New Roman" w:cs="Times New Roman"/>
          <w:sz w:val="20"/>
          <w:lang w:val="es-CO"/>
        </w:rPr>
        <w:t>3.3 Comparación con las variantes institucionales</w:t>
      </w:r>
    </w:p>
    <w:p w14:paraId="1F9B3D03" w14:textId="77777777" w:rsidR="00FA6ADD" w:rsidRPr="004A2C8D" w:rsidRDefault="00000000">
      <w:pPr>
        <w:spacing w:after="40"/>
        <w:ind w:firstLine="283"/>
        <w:jc w:val="both"/>
        <w:rPr>
          <w:lang w:val="es-CO"/>
        </w:rPr>
      </w:pPr>
      <w:r w:rsidRPr="004A2C8D">
        <w:rPr>
          <w:rFonts w:eastAsia="Times New Roman" w:cs="Times New Roman"/>
          <w:lang w:val="es-CO"/>
        </w:rPr>
        <w:t xml:space="preserve">La comparación no mostró una versión universalmente superior. NASA MATB/MATB-II mantiene la referencia más estable para el paradigma de cuatro subtareas y dispone de mayor continuidad histórica. AF-MATB destaca por la instrumentación y la sincronización externa. </w:t>
      </w:r>
      <w:proofErr w:type="spellStart"/>
      <w:r w:rsidRPr="004A2C8D">
        <w:rPr>
          <w:rFonts w:eastAsia="Times New Roman" w:cs="Times New Roman"/>
          <w:lang w:val="es-CO"/>
        </w:rPr>
        <w:t>OpenMATB</w:t>
      </w:r>
      <w:proofErr w:type="spellEnd"/>
      <w:r w:rsidRPr="004A2C8D">
        <w:rPr>
          <w:rFonts w:eastAsia="Times New Roman" w:cs="Times New Roman"/>
          <w:lang w:val="es-CO"/>
        </w:rPr>
        <w:t xml:space="preserve"> ofrece la base más transparente para personalización y replicación. USAARL MATB posee la automatización adaptativa más avanzada entre las versiones institucionales documentadas. La plataforma revisada presenta la cobertura tecnológica más amplia para un programa de factores humanos </w:t>
      </w:r>
      <w:proofErr w:type="spellStart"/>
      <w:r w:rsidRPr="004A2C8D">
        <w:rPr>
          <w:rFonts w:eastAsia="Times New Roman" w:cs="Times New Roman"/>
          <w:lang w:val="es-CO"/>
        </w:rPr>
        <w:t>sUAS</w:t>
      </w:r>
      <w:proofErr w:type="spellEnd"/>
      <w:r w:rsidRPr="004A2C8D">
        <w:rPr>
          <w:rFonts w:eastAsia="Times New Roman" w:cs="Times New Roman"/>
          <w:lang w:val="es-CO"/>
        </w:rPr>
        <w:t>/FPV, pero su madurez empírica es menor porque la calificación física, la calibración humana y la transferencia siguen pendientes. La Tabla 2 presenta esta distinción entre amplitud funcional y evidencia científica.</w:t>
      </w:r>
    </w:p>
    <w:p w14:paraId="21805CE8" w14:textId="77777777" w:rsidR="00FA6ADD" w:rsidRPr="004A2C8D" w:rsidRDefault="00000000">
      <w:pPr>
        <w:keepNext/>
        <w:keepLines/>
        <w:spacing w:before="80" w:after="40"/>
        <w:rPr>
          <w:lang w:val="es-CO"/>
        </w:rPr>
      </w:pPr>
      <w:r w:rsidRPr="004A2C8D">
        <w:rPr>
          <w:rFonts w:eastAsia="Times New Roman" w:cs="Times New Roman"/>
          <w:b/>
          <w:sz w:val="16"/>
          <w:lang w:val="es-CO"/>
        </w:rPr>
        <w:t>Tabla 2. Comparación cualitativa de las principales familias MATB</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1049"/>
        <w:gridCol w:w="1701"/>
        <w:gridCol w:w="1701"/>
        <w:gridCol w:w="1701"/>
        <w:gridCol w:w="1474"/>
        <w:gridCol w:w="1446"/>
      </w:tblGrid>
      <w:tr w:rsidR="00FA6ADD" w14:paraId="646AAF9C" w14:textId="77777777">
        <w:trPr>
          <w:cantSplit/>
          <w:tblHeader/>
          <w:jc w:val="center"/>
        </w:trPr>
        <w:tc>
          <w:tcPr>
            <w:tcW w:w="1049" w:type="dxa"/>
            <w:shd w:val="clear" w:color="auto" w:fill="D0D0D0"/>
            <w:tcMar>
              <w:top w:w="50" w:type="dxa"/>
              <w:left w:w="70" w:type="dxa"/>
              <w:bottom w:w="50" w:type="dxa"/>
              <w:right w:w="70" w:type="dxa"/>
            </w:tcMar>
            <w:vAlign w:val="center"/>
          </w:tcPr>
          <w:p w14:paraId="5478E854" w14:textId="77777777" w:rsidR="00FA6ADD" w:rsidRDefault="00000000">
            <w:pPr>
              <w:keepLines/>
              <w:jc w:val="center"/>
            </w:pPr>
            <w:proofErr w:type="spellStart"/>
            <w:r>
              <w:rPr>
                <w:rFonts w:eastAsia="Times New Roman" w:cs="Times New Roman"/>
                <w:b/>
                <w:sz w:val="14"/>
              </w:rPr>
              <w:t>Versión</w:t>
            </w:r>
            <w:proofErr w:type="spellEnd"/>
          </w:p>
        </w:tc>
        <w:tc>
          <w:tcPr>
            <w:tcW w:w="1701" w:type="dxa"/>
            <w:shd w:val="clear" w:color="auto" w:fill="D0D0D0"/>
            <w:tcMar>
              <w:top w:w="50" w:type="dxa"/>
              <w:left w:w="70" w:type="dxa"/>
              <w:bottom w:w="50" w:type="dxa"/>
              <w:right w:w="70" w:type="dxa"/>
            </w:tcMar>
            <w:vAlign w:val="center"/>
          </w:tcPr>
          <w:p w14:paraId="3D75B343" w14:textId="77777777" w:rsidR="00FA6ADD" w:rsidRDefault="00000000">
            <w:pPr>
              <w:keepLines/>
              <w:jc w:val="center"/>
            </w:pPr>
            <w:r>
              <w:rPr>
                <w:rFonts w:eastAsia="Times New Roman" w:cs="Times New Roman"/>
                <w:b/>
                <w:sz w:val="14"/>
              </w:rPr>
              <w:t>Fortaleza científica principal</w:t>
            </w:r>
          </w:p>
        </w:tc>
        <w:tc>
          <w:tcPr>
            <w:tcW w:w="1701" w:type="dxa"/>
            <w:shd w:val="clear" w:color="auto" w:fill="D0D0D0"/>
            <w:tcMar>
              <w:top w:w="50" w:type="dxa"/>
              <w:left w:w="70" w:type="dxa"/>
              <w:bottom w:w="50" w:type="dxa"/>
              <w:right w:w="70" w:type="dxa"/>
            </w:tcMar>
            <w:vAlign w:val="center"/>
          </w:tcPr>
          <w:p w14:paraId="676AD586" w14:textId="77777777" w:rsidR="00FA6ADD" w:rsidRDefault="00000000">
            <w:pPr>
              <w:keepLines/>
              <w:jc w:val="center"/>
            </w:pPr>
            <w:r>
              <w:rPr>
                <w:rFonts w:eastAsia="Times New Roman" w:cs="Times New Roman"/>
                <w:b/>
                <w:sz w:val="14"/>
              </w:rPr>
              <w:t>Instrumentación y automatización</w:t>
            </w:r>
          </w:p>
        </w:tc>
        <w:tc>
          <w:tcPr>
            <w:tcW w:w="1701" w:type="dxa"/>
            <w:shd w:val="clear" w:color="auto" w:fill="D0D0D0"/>
            <w:tcMar>
              <w:top w:w="50" w:type="dxa"/>
              <w:left w:w="70" w:type="dxa"/>
              <w:bottom w:w="50" w:type="dxa"/>
              <w:right w:w="70" w:type="dxa"/>
            </w:tcMar>
            <w:vAlign w:val="center"/>
          </w:tcPr>
          <w:p w14:paraId="088E5AC3" w14:textId="77777777" w:rsidR="00FA6ADD" w:rsidRDefault="00000000">
            <w:pPr>
              <w:keepLines/>
              <w:jc w:val="center"/>
            </w:pPr>
            <w:r>
              <w:rPr>
                <w:rFonts w:eastAsia="Times New Roman" w:cs="Times New Roman"/>
                <w:b/>
                <w:sz w:val="14"/>
              </w:rPr>
              <w:t>Extensiones de factores humanos</w:t>
            </w:r>
          </w:p>
        </w:tc>
        <w:tc>
          <w:tcPr>
            <w:tcW w:w="1474" w:type="dxa"/>
            <w:shd w:val="clear" w:color="auto" w:fill="D0D0D0"/>
            <w:tcMar>
              <w:top w:w="50" w:type="dxa"/>
              <w:left w:w="70" w:type="dxa"/>
              <w:bottom w:w="50" w:type="dxa"/>
              <w:right w:w="70" w:type="dxa"/>
            </w:tcMar>
            <w:vAlign w:val="center"/>
          </w:tcPr>
          <w:p w14:paraId="583C9F97" w14:textId="77777777" w:rsidR="00FA6ADD" w:rsidRDefault="00000000">
            <w:pPr>
              <w:keepLines/>
              <w:jc w:val="center"/>
            </w:pPr>
            <w:r>
              <w:rPr>
                <w:rFonts w:eastAsia="Times New Roman" w:cs="Times New Roman"/>
                <w:b/>
                <w:sz w:val="14"/>
              </w:rPr>
              <w:t>sUAS/FPV y longitudinalidad</w:t>
            </w:r>
          </w:p>
        </w:tc>
        <w:tc>
          <w:tcPr>
            <w:tcW w:w="1446" w:type="dxa"/>
            <w:shd w:val="clear" w:color="auto" w:fill="D0D0D0"/>
            <w:tcMar>
              <w:top w:w="50" w:type="dxa"/>
              <w:left w:w="70" w:type="dxa"/>
              <w:bottom w:w="50" w:type="dxa"/>
              <w:right w:w="70" w:type="dxa"/>
            </w:tcMar>
            <w:vAlign w:val="center"/>
          </w:tcPr>
          <w:p w14:paraId="28C338E7" w14:textId="77777777" w:rsidR="00FA6ADD" w:rsidRDefault="00000000">
            <w:pPr>
              <w:keepLines/>
              <w:jc w:val="center"/>
            </w:pPr>
            <w:r>
              <w:rPr>
                <w:rFonts w:eastAsia="Times New Roman" w:cs="Times New Roman"/>
                <w:b/>
                <w:sz w:val="14"/>
              </w:rPr>
              <w:t>Madurez y límite dominante</w:t>
            </w:r>
          </w:p>
        </w:tc>
      </w:tr>
      <w:tr w:rsidR="00FA6ADD" w:rsidRPr="004A2C8D" w14:paraId="368B6550" w14:textId="77777777">
        <w:trPr>
          <w:cantSplit/>
          <w:jc w:val="center"/>
        </w:trPr>
        <w:tc>
          <w:tcPr>
            <w:tcW w:w="1049" w:type="dxa"/>
            <w:tcMar>
              <w:top w:w="50" w:type="dxa"/>
              <w:left w:w="70" w:type="dxa"/>
              <w:bottom w:w="50" w:type="dxa"/>
              <w:right w:w="70" w:type="dxa"/>
            </w:tcMar>
          </w:tcPr>
          <w:p w14:paraId="6BDFEEA0" w14:textId="77777777" w:rsidR="00FA6ADD" w:rsidRDefault="00000000">
            <w:r>
              <w:rPr>
                <w:rFonts w:eastAsia="Times New Roman" w:cs="Times New Roman"/>
                <w:sz w:val="14"/>
              </w:rPr>
              <w:t>NASA MATB/MATB-II</w:t>
            </w:r>
          </w:p>
        </w:tc>
        <w:tc>
          <w:tcPr>
            <w:tcW w:w="1701" w:type="dxa"/>
            <w:tcMar>
              <w:top w:w="50" w:type="dxa"/>
              <w:left w:w="70" w:type="dxa"/>
              <w:bottom w:w="50" w:type="dxa"/>
              <w:right w:w="70" w:type="dxa"/>
            </w:tcMar>
          </w:tcPr>
          <w:p w14:paraId="08D2731A" w14:textId="77777777" w:rsidR="00FA6ADD" w:rsidRPr="004A2C8D" w:rsidRDefault="00000000">
            <w:pPr>
              <w:rPr>
                <w:lang w:val="es-CO"/>
              </w:rPr>
            </w:pPr>
            <w:r w:rsidRPr="004A2C8D">
              <w:rPr>
                <w:rFonts w:eastAsia="Times New Roman" w:cs="Times New Roman"/>
                <w:sz w:val="14"/>
                <w:lang w:val="es-CO"/>
              </w:rPr>
              <w:t>Paradigma canónico de cuatro subtareas y continuidad histórica</w:t>
            </w:r>
          </w:p>
        </w:tc>
        <w:tc>
          <w:tcPr>
            <w:tcW w:w="1701" w:type="dxa"/>
            <w:tcMar>
              <w:top w:w="50" w:type="dxa"/>
              <w:left w:w="70" w:type="dxa"/>
              <w:bottom w:w="50" w:type="dxa"/>
              <w:right w:w="70" w:type="dxa"/>
            </w:tcMar>
          </w:tcPr>
          <w:p w14:paraId="0C967368" w14:textId="77777777" w:rsidR="00FA6ADD" w:rsidRPr="004A2C8D" w:rsidRDefault="00000000">
            <w:pPr>
              <w:rPr>
                <w:lang w:val="es-CO"/>
              </w:rPr>
            </w:pPr>
            <w:r w:rsidRPr="004A2C8D">
              <w:rPr>
                <w:rFonts w:eastAsia="Times New Roman" w:cs="Times New Roman"/>
                <w:sz w:val="14"/>
                <w:lang w:val="es-CO"/>
              </w:rPr>
              <w:t>Configuración de eventos y modos de entrenamiento/prueba; automatización clásica</w:t>
            </w:r>
          </w:p>
        </w:tc>
        <w:tc>
          <w:tcPr>
            <w:tcW w:w="1701" w:type="dxa"/>
            <w:tcMar>
              <w:top w:w="50" w:type="dxa"/>
              <w:left w:w="70" w:type="dxa"/>
              <w:bottom w:w="50" w:type="dxa"/>
              <w:right w:w="70" w:type="dxa"/>
            </w:tcMar>
          </w:tcPr>
          <w:p w14:paraId="02D610C9" w14:textId="77777777" w:rsidR="00FA6ADD" w:rsidRPr="004A2C8D" w:rsidRDefault="00000000">
            <w:pPr>
              <w:rPr>
                <w:lang w:val="es-CO"/>
              </w:rPr>
            </w:pPr>
            <w:r w:rsidRPr="004A2C8D">
              <w:rPr>
                <w:rFonts w:eastAsia="Times New Roman" w:cs="Times New Roman"/>
                <w:sz w:val="14"/>
                <w:lang w:val="es-CO"/>
              </w:rPr>
              <w:t>Carga y desempeño por tarea; integración fisiológica generalmente externa</w:t>
            </w:r>
          </w:p>
        </w:tc>
        <w:tc>
          <w:tcPr>
            <w:tcW w:w="1474" w:type="dxa"/>
            <w:tcMar>
              <w:top w:w="50" w:type="dxa"/>
              <w:left w:w="70" w:type="dxa"/>
              <w:bottom w:w="50" w:type="dxa"/>
              <w:right w:w="70" w:type="dxa"/>
            </w:tcMar>
          </w:tcPr>
          <w:p w14:paraId="694EA4BE" w14:textId="77777777" w:rsidR="00FA6ADD" w:rsidRPr="004A2C8D" w:rsidRDefault="00000000">
            <w:pPr>
              <w:rPr>
                <w:lang w:val="es-CO"/>
              </w:rPr>
            </w:pPr>
            <w:r w:rsidRPr="004A2C8D">
              <w:rPr>
                <w:rFonts w:eastAsia="Times New Roman" w:cs="Times New Roman"/>
                <w:sz w:val="14"/>
                <w:lang w:val="es-CO"/>
              </w:rPr>
              <w:t>No incorpora FPV ni flujo longitudinal nativo</w:t>
            </w:r>
          </w:p>
        </w:tc>
        <w:tc>
          <w:tcPr>
            <w:tcW w:w="1446" w:type="dxa"/>
            <w:tcMar>
              <w:top w:w="50" w:type="dxa"/>
              <w:left w:w="70" w:type="dxa"/>
              <w:bottom w:w="50" w:type="dxa"/>
              <w:right w:w="70" w:type="dxa"/>
            </w:tcMar>
          </w:tcPr>
          <w:p w14:paraId="0912EFEF" w14:textId="77777777" w:rsidR="00FA6ADD" w:rsidRPr="004A2C8D" w:rsidRDefault="00000000">
            <w:pPr>
              <w:rPr>
                <w:lang w:val="es-CO"/>
              </w:rPr>
            </w:pPr>
            <w:r w:rsidRPr="004A2C8D">
              <w:rPr>
                <w:rFonts w:eastAsia="Times New Roman" w:cs="Times New Roman"/>
                <w:sz w:val="14"/>
                <w:lang w:val="es-CO"/>
              </w:rPr>
              <w:t>Mayor madurez como referencia; resultados dependen de la configuración</w:t>
            </w:r>
          </w:p>
        </w:tc>
      </w:tr>
      <w:tr w:rsidR="00FA6ADD" w:rsidRPr="004A2C8D" w14:paraId="23426A58" w14:textId="77777777">
        <w:trPr>
          <w:cantSplit/>
          <w:jc w:val="center"/>
        </w:trPr>
        <w:tc>
          <w:tcPr>
            <w:tcW w:w="1049" w:type="dxa"/>
            <w:shd w:val="clear" w:color="auto" w:fill="F2F2F2"/>
            <w:tcMar>
              <w:top w:w="50" w:type="dxa"/>
              <w:left w:w="70" w:type="dxa"/>
              <w:bottom w:w="50" w:type="dxa"/>
              <w:right w:w="70" w:type="dxa"/>
            </w:tcMar>
          </w:tcPr>
          <w:p w14:paraId="1CBA7E77" w14:textId="77777777" w:rsidR="00FA6ADD" w:rsidRDefault="00000000">
            <w:r>
              <w:rPr>
                <w:rFonts w:eastAsia="Times New Roman" w:cs="Times New Roman"/>
                <w:sz w:val="14"/>
              </w:rPr>
              <w:t>USAF AF-MATB</w:t>
            </w:r>
          </w:p>
        </w:tc>
        <w:tc>
          <w:tcPr>
            <w:tcW w:w="1701" w:type="dxa"/>
            <w:shd w:val="clear" w:color="auto" w:fill="F2F2F2"/>
            <w:tcMar>
              <w:top w:w="50" w:type="dxa"/>
              <w:left w:w="70" w:type="dxa"/>
              <w:bottom w:w="50" w:type="dxa"/>
              <w:right w:w="70" w:type="dxa"/>
            </w:tcMar>
          </w:tcPr>
          <w:p w14:paraId="39924AE3" w14:textId="77777777" w:rsidR="00FA6ADD" w:rsidRPr="004A2C8D" w:rsidRDefault="00000000">
            <w:pPr>
              <w:rPr>
                <w:lang w:val="es-CO"/>
              </w:rPr>
            </w:pPr>
            <w:r w:rsidRPr="004A2C8D">
              <w:rPr>
                <w:rFonts w:eastAsia="Times New Roman" w:cs="Times New Roman"/>
                <w:sz w:val="14"/>
                <w:lang w:val="es-CO"/>
              </w:rPr>
              <w:t>Entorno controlado para carga, estrategia y confianza en automatización</w:t>
            </w:r>
          </w:p>
        </w:tc>
        <w:tc>
          <w:tcPr>
            <w:tcW w:w="1701" w:type="dxa"/>
            <w:shd w:val="clear" w:color="auto" w:fill="F2F2F2"/>
            <w:tcMar>
              <w:top w:w="50" w:type="dxa"/>
              <w:left w:w="70" w:type="dxa"/>
              <w:bottom w:w="50" w:type="dxa"/>
              <w:right w:w="70" w:type="dxa"/>
            </w:tcMar>
          </w:tcPr>
          <w:p w14:paraId="3C4FAE06" w14:textId="77777777" w:rsidR="00FA6ADD" w:rsidRPr="004A2C8D" w:rsidRDefault="00000000">
            <w:pPr>
              <w:rPr>
                <w:lang w:val="es-CO"/>
              </w:rPr>
            </w:pPr>
            <w:r w:rsidRPr="004A2C8D">
              <w:rPr>
                <w:rFonts w:eastAsia="Times New Roman" w:cs="Times New Roman"/>
                <w:sz w:val="14"/>
                <w:lang w:val="es-CO"/>
              </w:rPr>
              <w:t>Generación de escenarios, registros detallados y disparadores seriales/digitales</w:t>
            </w:r>
          </w:p>
        </w:tc>
        <w:tc>
          <w:tcPr>
            <w:tcW w:w="1701" w:type="dxa"/>
            <w:shd w:val="clear" w:color="auto" w:fill="F2F2F2"/>
            <w:tcMar>
              <w:top w:w="50" w:type="dxa"/>
              <w:left w:w="70" w:type="dxa"/>
              <w:bottom w:w="50" w:type="dxa"/>
              <w:right w:w="70" w:type="dxa"/>
            </w:tcMar>
          </w:tcPr>
          <w:p w14:paraId="57D3E190" w14:textId="77777777" w:rsidR="00FA6ADD" w:rsidRPr="004A2C8D" w:rsidRDefault="00000000">
            <w:pPr>
              <w:rPr>
                <w:lang w:val="es-CO"/>
              </w:rPr>
            </w:pPr>
            <w:r w:rsidRPr="004A2C8D">
              <w:rPr>
                <w:rFonts w:eastAsia="Times New Roman" w:cs="Times New Roman"/>
                <w:sz w:val="14"/>
                <w:lang w:val="es-CO"/>
              </w:rPr>
              <w:t>Adecuado para sincronización con sensores y estudios de automatización</w:t>
            </w:r>
          </w:p>
        </w:tc>
        <w:tc>
          <w:tcPr>
            <w:tcW w:w="1474" w:type="dxa"/>
            <w:shd w:val="clear" w:color="auto" w:fill="F2F2F2"/>
            <w:tcMar>
              <w:top w:w="50" w:type="dxa"/>
              <w:left w:w="70" w:type="dxa"/>
              <w:bottom w:w="50" w:type="dxa"/>
              <w:right w:w="70" w:type="dxa"/>
            </w:tcMar>
          </w:tcPr>
          <w:p w14:paraId="768132CB" w14:textId="77777777" w:rsidR="00FA6ADD" w:rsidRPr="004A2C8D" w:rsidRDefault="00000000">
            <w:pPr>
              <w:rPr>
                <w:lang w:val="es-CO"/>
              </w:rPr>
            </w:pPr>
            <w:r w:rsidRPr="004A2C8D">
              <w:rPr>
                <w:rFonts w:eastAsia="Times New Roman" w:cs="Times New Roman"/>
                <w:sz w:val="14"/>
                <w:lang w:val="es-CO"/>
              </w:rPr>
              <w:t xml:space="preserve">Sin integración FPV o </w:t>
            </w:r>
            <w:proofErr w:type="spellStart"/>
            <w:r w:rsidRPr="004A2C8D">
              <w:rPr>
                <w:rFonts w:eastAsia="Times New Roman" w:cs="Times New Roman"/>
                <w:sz w:val="14"/>
                <w:lang w:val="es-CO"/>
              </w:rPr>
              <w:t>sUAS</w:t>
            </w:r>
            <w:proofErr w:type="spellEnd"/>
            <w:r w:rsidRPr="004A2C8D">
              <w:rPr>
                <w:rFonts w:eastAsia="Times New Roman" w:cs="Times New Roman"/>
                <w:sz w:val="14"/>
                <w:lang w:val="es-CO"/>
              </w:rPr>
              <w:t xml:space="preserve"> manual documentada</w:t>
            </w:r>
          </w:p>
        </w:tc>
        <w:tc>
          <w:tcPr>
            <w:tcW w:w="1446" w:type="dxa"/>
            <w:shd w:val="clear" w:color="auto" w:fill="F2F2F2"/>
            <w:tcMar>
              <w:top w:w="50" w:type="dxa"/>
              <w:left w:w="70" w:type="dxa"/>
              <w:bottom w:w="50" w:type="dxa"/>
              <w:right w:w="70" w:type="dxa"/>
            </w:tcMar>
          </w:tcPr>
          <w:p w14:paraId="55867BA6" w14:textId="77777777" w:rsidR="00FA6ADD" w:rsidRPr="004A2C8D" w:rsidRDefault="00000000">
            <w:pPr>
              <w:rPr>
                <w:lang w:val="es-CO"/>
              </w:rPr>
            </w:pPr>
            <w:r w:rsidRPr="004A2C8D">
              <w:rPr>
                <w:rFonts w:eastAsia="Times New Roman" w:cs="Times New Roman"/>
                <w:sz w:val="14"/>
                <w:lang w:val="es-CO"/>
              </w:rPr>
              <w:t xml:space="preserve">Fuerte instrumentación; código y adopción menos abiertos que </w:t>
            </w:r>
            <w:proofErr w:type="spellStart"/>
            <w:r w:rsidRPr="004A2C8D">
              <w:rPr>
                <w:rFonts w:eastAsia="Times New Roman" w:cs="Times New Roman"/>
                <w:sz w:val="14"/>
                <w:lang w:val="es-CO"/>
              </w:rPr>
              <w:t>OpenMATB</w:t>
            </w:r>
            <w:proofErr w:type="spellEnd"/>
          </w:p>
        </w:tc>
      </w:tr>
      <w:tr w:rsidR="00FA6ADD" w:rsidRPr="004A2C8D" w14:paraId="70C27F81" w14:textId="77777777">
        <w:trPr>
          <w:cantSplit/>
          <w:jc w:val="center"/>
        </w:trPr>
        <w:tc>
          <w:tcPr>
            <w:tcW w:w="1049" w:type="dxa"/>
            <w:tcMar>
              <w:top w:w="50" w:type="dxa"/>
              <w:left w:w="70" w:type="dxa"/>
              <w:bottom w:w="50" w:type="dxa"/>
              <w:right w:w="70" w:type="dxa"/>
            </w:tcMar>
          </w:tcPr>
          <w:p w14:paraId="45F6800B" w14:textId="77777777" w:rsidR="00FA6ADD" w:rsidRDefault="00000000">
            <w:proofErr w:type="spellStart"/>
            <w:r>
              <w:rPr>
                <w:rFonts w:eastAsia="Times New Roman" w:cs="Times New Roman"/>
                <w:sz w:val="14"/>
              </w:rPr>
              <w:t>OpenMATB</w:t>
            </w:r>
            <w:proofErr w:type="spellEnd"/>
          </w:p>
        </w:tc>
        <w:tc>
          <w:tcPr>
            <w:tcW w:w="1701" w:type="dxa"/>
            <w:tcMar>
              <w:top w:w="50" w:type="dxa"/>
              <w:left w:w="70" w:type="dxa"/>
              <w:bottom w:w="50" w:type="dxa"/>
              <w:right w:w="70" w:type="dxa"/>
            </w:tcMar>
          </w:tcPr>
          <w:p w14:paraId="1C9B0A2D" w14:textId="77777777" w:rsidR="00FA6ADD" w:rsidRPr="004A2C8D" w:rsidRDefault="00000000">
            <w:pPr>
              <w:rPr>
                <w:lang w:val="es-CO"/>
              </w:rPr>
            </w:pPr>
            <w:r w:rsidRPr="004A2C8D">
              <w:rPr>
                <w:rFonts w:eastAsia="Times New Roman" w:cs="Times New Roman"/>
                <w:sz w:val="14"/>
                <w:lang w:val="es-CO"/>
              </w:rPr>
              <w:t>Personalización, extensibilidad y replicabilidad abierta</w:t>
            </w:r>
          </w:p>
        </w:tc>
        <w:tc>
          <w:tcPr>
            <w:tcW w:w="1701" w:type="dxa"/>
            <w:tcMar>
              <w:top w:w="50" w:type="dxa"/>
              <w:left w:w="70" w:type="dxa"/>
              <w:bottom w:w="50" w:type="dxa"/>
              <w:right w:w="70" w:type="dxa"/>
            </w:tcMar>
          </w:tcPr>
          <w:p w14:paraId="02E23492" w14:textId="77777777" w:rsidR="00FA6ADD" w:rsidRPr="004A2C8D" w:rsidRDefault="00000000">
            <w:pPr>
              <w:rPr>
                <w:lang w:val="es-CO"/>
              </w:rPr>
            </w:pPr>
            <w:r w:rsidRPr="004A2C8D">
              <w:rPr>
                <w:rFonts w:eastAsia="Times New Roman" w:cs="Times New Roman"/>
                <w:sz w:val="14"/>
                <w:lang w:val="es-CO"/>
              </w:rPr>
              <w:t>Arquitectura modular y guiones legibles; automatización básica/extensible</w:t>
            </w:r>
          </w:p>
        </w:tc>
        <w:tc>
          <w:tcPr>
            <w:tcW w:w="1701" w:type="dxa"/>
            <w:tcMar>
              <w:top w:w="50" w:type="dxa"/>
              <w:left w:w="70" w:type="dxa"/>
              <w:bottom w:w="50" w:type="dxa"/>
              <w:right w:w="70" w:type="dxa"/>
            </w:tcMar>
          </w:tcPr>
          <w:p w14:paraId="3B077ECF" w14:textId="77777777" w:rsidR="00FA6ADD" w:rsidRPr="004A2C8D" w:rsidRDefault="00000000">
            <w:pPr>
              <w:rPr>
                <w:lang w:val="es-CO"/>
              </w:rPr>
            </w:pPr>
            <w:r w:rsidRPr="004A2C8D">
              <w:rPr>
                <w:rFonts w:eastAsia="Times New Roman" w:cs="Times New Roman"/>
                <w:sz w:val="14"/>
                <w:lang w:val="es-CO"/>
              </w:rPr>
              <w:t>Permite escalas y sincronización mediante extensiones</w:t>
            </w:r>
          </w:p>
        </w:tc>
        <w:tc>
          <w:tcPr>
            <w:tcW w:w="1474" w:type="dxa"/>
            <w:tcMar>
              <w:top w:w="50" w:type="dxa"/>
              <w:left w:w="70" w:type="dxa"/>
              <w:bottom w:w="50" w:type="dxa"/>
              <w:right w:w="70" w:type="dxa"/>
            </w:tcMar>
          </w:tcPr>
          <w:p w14:paraId="2998A6C4" w14:textId="77777777" w:rsidR="00FA6ADD" w:rsidRPr="004A2C8D" w:rsidRDefault="00000000">
            <w:pPr>
              <w:rPr>
                <w:lang w:val="es-CO"/>
              </w:rPr>
            </w:pPr>
            <w:r w:rsidRPr="004A2C8D">
              <w:rPr>
                <w:rFonts w:eastAsia="Times New Roman" w:cs="Times New Roman"/>
                <w:sz w:val="14"/>
                <w:lang w:val="es-CO"/>
              </w:rPr>
              <w:t xml:space="preserve">No incluye de origen </w:t>
            </w:r>
            <w:proofErr w:type="spellStart"/>
            <w:r w:rsidRPr="004A2C8D">
              <w:rPr>
                <w:rFonts w:eastAsia="Times New Roman" w:cs="Times New Roman"/>
                <w:sz w:val="14"/>
                <w:lang w:val="es-CO"/>
              </w:rPr>
              <w:t>Liftoff</w:t>
            </w:r>
            <w:proofErr w:type="spellEnd"/>
            <w:r w:rsidRPr="004A2C8D">
              <w:rPr>
                <w:rFonts w:eastAsia="Times New Roman" w:cs="Times New Roman"/>
                <w:sz w:val="14"/>
                <w:lang w:val="es-CO"/>
              </w:rPr>
              <w:t xml:space="preserve">, </w:t>
            </w:r>
            <w:proofErr w:type="spellStart"/>
            <w:r w:rsidRPr="004A2C8D">
              <w:rPr>
                <w:rFonts w:eastAsia="Times New Roman" w:cs="Times New Roman"/>
                <w:sz w:val="14"/>
                <w:lang w:val="es-CO"/>
              </w:rPr>
              <w:t>sUAS</w:t>
            </w:r>
            <w:proofErr w:type="spellEnd"/>
            <w:r w:rsidRPr="004A2C8D">
              <w:rPr>
                <w:rFonts w:eastAsia="Times New Roman" w:cs="Times New Roman"/>
                <w:sz w:val="14"/>
                <w:lang w:val="es-CO"/>
              </w:rPr>
              <w:t xml:space="preserve"> longitudinal o H10</w:t>
            </w:r>
          </w:p>
        </w:tc>
        <w:tc>
          <w:tcPr>
            <w:tcW w:w="1446" w:type="dxa"/>
            <w:tcMar>
              <w:top w:w="50" w:type="dxa"/>
              <w:left w:w="70" w:type="dxa"/>
              <w:bottom w:w="50" w:type="dxa"/>
              <w:right w:w="70" w:type="dxa"/>
            </w:tcMar>
          </w:tcPr>
          <w:p w14:paraId="60427655" w14:textId="77777777" w:rsidR="00FA6ADD" w:rsidRPr="004A2C8D" w:rsidRDefault="00000000">
            <w:pPr>
              <w:rPr>
                <w:lang w:val="es-CO"/>
              </w:rPr>
            </w:pPr>
            <w:r w:rsidRPr="004A2C8D">
              <w:rPr>
                <w:rFonts w:eastAsia="Times New Roman" w:cs="Times New Roman"/>
                <w:sz w:val="14"/>
                <w:lang w:val="es-CO"/>
              </w:rPr>
              <w:t>Base abierta revisada por pares; requiere validación por configuración</w:t>
            </w:r>
          </w:p>
        </w:tc>
      </w:tr>
      <w:tr w:rsidR="00FA6ADD" w:rsidRPr="004A2C8D" w14:paraId="40272A9C" w14:textId="77777777">
        <w:trPr>
          <w:cantSplit/>
          <w:jc w:val="center"/>
        </w:trPr>
        <w:tc>
          <w:tcPr>
            <w:tcW w:w="1049" w:type="dxa"/>
            <w:shd w:val="clear" w:color="auto" w:fill="F2F2F2"/>
            <w:tcMar>
              <w:top w:w="50" w:type="dxa"/>
              <w:left w:w="70" w:type="dxa"/>
              <w:bottom w:w="50" w:type="dxa"/>
              <w:right w:w="70" w:type="dxa"/>
            </w:tcMar>
          </w:tcPr>
          <w:p w14:paraId="70A275E4" w14:textId="77777777" w:rsidR="00FA6ADD" w:rsidRDefault="00000000">
            <w:r>
              <w:rPr>
                <w:rFonts w:eastAsia="Times New Roman" w:cs="Times New Roman"/>
                <w:sz w:val="14"/>
              </w:rPr>
              <w:t>USAARL MATB</w:t>
            </w:r>
          </w:p>
        </w:tc>
        <w:tc>
          <w:tcPr>
            <w:tcW w:w="1701" w:type="dxa"/>
            <w:shd w:val="clear" w:color="auto" w:fill="F2F2F2"/>
            <w:tcMar>
              <w:top w:w="50" w:type="dxa"/>
              <w:left w:w="70" w:type="dxa"/>
              <w:bottom w:w="50" w:type="dxa"/>
              <w:right w:w="70" w:type="dxa"/>
            </w:tcMar>
          </w:tcPr>
          <w:p w14:paraId="239199C0" w14:textId="77777777" w:rsidR="00FA6ADD" w:rsidRPr="004A2C8D" w:rsidRDefault="00000000">
            <w:pPr>
              <w:rPr>
                <w:lang w:val="es-CO"/>
              </w:rPr>
            </w:pPr>
            <w:r w:rsidRPr="004A2C8D">
              <w:rPr>
                <w:rFonts w:eastAsia="Times New Roman" w:cs="Times New Roman"/>
                <w:sz w:val="14"/>
                <w:lang w:val="es-CO"/>
              </w:rPr>
              <w:t>Transiciones dinámicas y reasignación por desempeño</w:t>
            </w:r>
          </w:p>
        </w:tc>
        <w:tc>
          <w:tcPr>
            <w:tcW w:w="1701" w:type="dxa"/>
            <w:shd w:val="clear" w:color="auto" w:fill="F2F2F2"/>
            <w:tcMar>
              <w:top w:w="50" w:type="dxa"/>
              <w:left w:w="70" w:type="dxa"/>
              <w:bottom w:w="50" w:type="dxa"/>
              <w:right w:w="70" w:type="dxa"/>
            </w:tcMar>
          </w:tcPr>
          <w:p w14:paraId="23C42036" w14:textId="77777777" w:rsidR="00FA6ADD" w:rsidRPr="004A2C8D" w:rsidRDefault="00000000">
            <w:pPr>
              <w:rPr>
                <w:lang w:val="es-CO"/>
              </w:rPr>
            </w:pPr>
            <w:r w:rsidRPr="004A2C8D">
              <w:rPr>
                <w:rFonts w:eastAsia="Times New Roman" w:cs="Times New Roman"/>
                <w:sz w:val="14"/>
                <w:lang w:val="es-CO"/>
              </w:rPr>
              <w:t>Variantes de subtareas, ISA en tiempo real, LSL y automatización VOGL</w:t>
            </w:r>
          </w:p>
        </w:tc>
        <w:tc>
          <w:tcPr>
            <w:tcW w:w="1701" w:type="dxa"/>
            <w:shd w:val="clear" w:color="auto" w:fill="F2F2F2"/>
            <w:tcMar>
              <w:top w:w="50" w:type="dxa"/>
              <w:left w:w="70" w:type="dxa"/>
              <w:bottom w:w="50" w:type="dxa"/>
              <w:right w:w="70" w:type="dxa"/>
            </w:tcMar>
          </w:tcPr>
          <w:p w14:paraId="361479B4" w14:textId="77777777" w:rsidR="00FA6ADD" w:rsidRPr="004A2C8D" w:rsidRDefault="00000000">
            <w:pPr>
              <w:rPr>
                <w:lang w:val="es-CO"/>
              </w:rPr>
            </w:pPr>
            <w:r w:rsidRPr="004A2C8D">
              <w:rPr>
                <w:rFonts w:eastAsia="Times New Roman" w:cs="Times New Roman"/>
                <w:sz w:val="14"/>
                <w:lang w:val="es-CO"/>
              </w:rPr>
              <w:t>Apropiada para carga, desempeño e interacción humano–automatización</w:t>
            </w:r>
          </w:p>
        </w:tc>
        <w:tc>
          <w:tcPr>
            <w:tcW w:w="1474" w:type="dxa"/>
            <w:shd w:val="clear" w:color="auto" w:fill="F2F2F2"/>
            <w:tcMar>
              <w:top w:w="50" w:type="dxa"/>
              <w:left w:w="70" w:type="dxa"/>
              <w:bottom w:w="50" w:type="dxa"/>
              <w:right w:w="70" w:type="dxa"/>
            </w:tcMar>
          </w:tcPr>
          <w:p w14:paraId="4A8DD02C" w14:textId="77777777" w:rsidR="00FA6ADD" w:rsidRPr="004A2C8D" w:rsidRDefault="00000000">
            <w:pPr>
              <w:rPr>
                <w:lang w:val="es-CO"/>
              </w:rPr>
            </w:pPr>
            <w:r w:rsidRPr="004A2C8D">
              <w:rPr>
                <w:rFonts w:eastAsia="Times New Roman" w:cs="Times New Roman"/>
                <w:sz w:val="14"/>
                <w:lang w:val="es-CO"/>
              </w:rPr>
              <w:t>No incorpora control manual FPV nativo</w:t>
            </w:r>
          </w:p>
        </w:tc>
        <w:tc>
          <w:tcPr>
            <w:tcW w:w="1446" w:type="dxa"/>
            <w:shd w:val="clear" w:color="auto" w:fill="F2F2F2"/>
            <w:tcMar>
              <w:top w:w="50" w:type="dxa"/>
              <w:left w:w="70" w:type="dxa"/>
              <w:bottom w:w="50" w:type="dxa"/>
              <w:right w:w="70" w:type="dxa"/>
            </w:tcMar>
          </w:tcPr>
          <w:p w14:paraId="3D780366" w14:textId="77777777" w:rsidR="00FA6ADD" w:rsidRPr="004A2C8D" w:rsidRDefault="00000000">
            <w:pPr>
              <w:rPr>
                <w:lang w:val="es-CO"/>
              </w:rPr>
            </w:pPr>
            <w:r w:rsidRPr="004A2C8D">
              <w:rPr>
                <w:rFonts w:eastAsia="Times New Roman" w:cs="Times New Roman"/>
                <w:sz w:val="14"/>
                <w:lang w:val="es-CO"/>
              </w:rPr>
              <w:t>Innovación adaptativa reciente; validación independiente aún limitada</w:t>
            </w:r>
          </w:p>
        </w:tc>
      </w:tr>
      <w:tr w:rsidR="00FA6ADD" w:rsidRPr="004A2C8D" w14:paraId="0707CBE2" w14:textId="77777777">
        <w:trPr>
          <w:cantSplit/>
          <w:jc w:val="center"/>
        </w:trPr>
        <w:tc>
          <w:tcPr>
            <w:tcW w:w="1049" w:type="dxa"/>
            <w:tcMar>
              <w:top w:w="50" w:type="dxa"/>
              <w:left w:w="70" w:type="dxa"/>
              <w:bottom w:w="50" w:type="dxa"/>
              <w:right w:w="70" w:type="dxa"/>
            </w:tcMar>
          </w:tcPr>
          <w:p w14:paraId="399A723F" w14:textId="77777777" w:rsidR="00FA6ADD" w:rsidRDefault="00000000">
            <w:r>
              <w:rPr>
                <w:rFonts w:eastAsia="Times New Roman" w:cs="Times New Roman"/>
                <w:sz w:val="14"/>
              </w:rPr>
              <w:t xml:space="preserve">Plataforma </w:t>
            </w:r>
            <w:proofErr w:type="spellStart"/>
            <w:r>
              <w:rPr>
                <w:rFonts w:eastAsia="Times New Roman" w:cs="Times New Roman"/>
                <w:sz w:val="14"/>
              </w:rPr>
              <w:t>estudiada</w:t>
            </w:r>
            <w:proofErr w:type="spellEnd"/>
          </w:p>
        </w:tc>
        <w:tc>
          <w:tcPr>
            <w:tcW w:w="1701" w:type="dxa"/>
            <w:tcMar>
              <w:top w:w="50" w:type="dxa"/>
              <w:left w:w="70" w:type="dxa"/>
              <w:bottom w:w="50" w:type="dxa"/>
              <w:right w:w="70" w:type="dxa"/>
            </w:tcMar>
          </w:tcPr>
          <w:p w14:paraId="751DB0FA" w14:textId="77777777" w:rsidR="00FA6ADD" w:rsidRPr="004A2C8D" w:rsidRDefault="00000000">
            <w:pPr>
              <w:rPr>
                <w:lang w:val="es-CO"/>
              </w:rPr>
            </w:pPr>
            <w:r w:rsidRPr="004A2C8D">
              <w:rPr>
                <w:rFonts w:eastAsia="Times New Roman" w:cs="Times New Roman"/>
                <w:sz w:val="14"/>
                <w:lang w:val="es-CO"/>
              </w:rPr>
              <w:t>Integración de multitarea, control FPV, supervisión, estado y procedencia</w:t>
            </w:r>
          </w:p>
        </w:tc>
        <w:tc>
          <w:tcPr>
            <w:tcW w:w="1701" w:type="dxa"/>
            <w:tcMar>
              <w:top w:w="50" w:type="dxa"/>
              <w:left w:w="70" w:type="dxa"/>
              <w:bottom w:w="50" w:type="dxa"/>
              <w:right w:w="70" w:type="dxa"/>
            </w:tcMar>
          </w:tcPr>
          <w:p w14:paraId="0F1B5BB6" w14:textId="77777777" w:rsidR="00FA6ADD" w:rsidRPr="004A2C8D" w:rsidRDefault="00000000">
            <w:pPr>
              <w:rPr>
                <w:lang w:val="es-CO"/>
              </w:rPr>
            </w:pPr>
            <w:r w:rsidRPr="004A2C8D">
              <w:rPr>
                <w:rFonts w:eastAsia="Times New Roman" w:cs="Times New Roman"/>
                <w:sz w:val="14"/>
                <w:lang w:val="es-CO"/>
              </w:rPr>
              <w:t>Escenarios deterministas, reproducción, automatización experimental y compuertas</w:t>
            </w:r>
          </w:p>
        </w:tc>
        <w:tc>
          <w:tcPr>
            <w:tcW w:w="1701" w:type="dxa"/>
            <w:tcMar>
              <w:top w:w="50" w:type="dxa"/>
              <w:left w:w="70" w:type="dxa"/>
              <w:bottom w:w="50" w:type="dxa"/>
              <w:right w:w="70" w:type="dxa"/>
            </w:tcMar>
          </w:tcPr>
          <w:p w14:paraId="279A1662" w14:textId="77777777" w:rsidR="00FA6ADD" w:rsidRPr="004A2C8D" w:rsidRDefault="00000000">
            <w:pPr>
              <w:rPr>
                <w:lang w:val="es-CO"/>
              </w:rPr>
            </w:pPr>
            <w:r w:rsidRPr="004A2C8D">
              <w:rPr>
                <w:rFonts w:eastAsia="Times New Roman" w:cs="Times New Roman"/>
                <w:sz w:val="14"/>
                <w:lang w:val="es-CO"/>
              </w:rPr>
              <w:t>NASA-TLX, ISA, Bedford, SAGAT, KSS, H10 y español aeronáutico</w:t>
            </w:r>
          </w:p>
        </w:tc>
        <w:tc>
          <w:tcPr>
            <w:tcW w:w="1474" w:type="dxa"/>
            <w:tcMar>
              <w:top w:w="50" w:type="dxa"/>
              <w:left w:w="70" w:type="dxa"/>
              <w:bottom w:w="50" w:type="dxa"/>
              <w:right w:w="70" w:type="dxa"/>
            </w:tcMar>
          </w:tcPr>
          <w:p w14:paraId="5D596918" w14:textId="77777777" w:rsidR="00FA6ADD" w:rsidRPr="004A2C8D" w:rsidRDefault="00000000">
            <w:pPr>
              <w:rPr>
                <w:lang w:val="es-CO"/>
              </w:rPr>
            </w:pPr>
            <w:r w:rsidRPr="004A2C8D">
              <w:rPr>
                <w:rFonts w:eastAsia="Times New Roman" w:cs="Times New Roman"/>
                <w:sz w:val="14"/>
                <w:lang w:val="es-CO"/>
              </w:rPr>
              <w:t xml:space="preserve">Liftoff, misión </w:t>
            </w:r>
            <w:proofErr w:type="spellStart"/>
            <w:r w:rsidRPr="004A2C8D">
              <w:rPr>
                <w:rFonts w:eastAsia="Times New Roman" w:cs="Times New Roman"/>
                <w:sz w:val="14"/>
                <w:lang w:val="es-CO"/>
              </w:rPr>
              <w:t>sUAS</w:t>
            </w:r>
            <w:proofErr w:type="spellEnd"/>
            <w:r w:rsidRPr="004A2C8D">
              <w:rPr>
                <w:rFonts w:eastAsia="Times New Roman" w:cs="Times New Roman"/>
                <w:sz w:val="14"/>
                <w:lang w:val="es-CO"/>
              </w:rPr>
              <w:t xml:space="preserve"> sintética y visitas longitudinales integradas</w:t>
            </w:r>
          </w:p>
        </w:tc>
        <w:tc>
          <w:tcPr>
            <w:tcW w:w="1446" w:type="dxa"/>
            <w:tcMar>
              <w:top w:w="50" w:type="dxa"/>
              <w:left w:w="70" w:type="dxa"/>
              <w:bottom w:w="50" w:type="dxa"/>
              <w:right w:w="70" w:type="dxa"/>
            </w:tcMar>
          </w:tcPr>
          <w:p w14:paraId="4A21A019" w14:textId="77777777" w:rsidR="00FA6ADD" w:rsidRPr="004A2C8D" w:rsidRDefault="00000000">
            <w:pPr>
              <w:rPr>
                <w:lang w:val="es-CO"/>
              </w:rPr>
            </w:pPr>
            <w:r w:rsidRPr="004A2C8D">
              <w:rPr>
                <w:rFonts w:eastAsia="Times New Roman" w:cs="Times New Roman"/>
                <w:sz w:val="14"/>
                <w:lang w:val="es-CO"/>
              </w:rPr>
              <w:t>Mayor amplitud tecnológica; tiempo físico, calibración, confiabilidad y transferencia pendientes</w:t>
            </w:r>
          </w:p>
        </w:tc>
      </w:tr>
    </w:tbl>
    <w:p w14:paraId="512546B0" w14:textId="77777777" w:rsidR="00FA6ADD" w:rsidRPr="004A2C8D" w:rsidRDefault="00000000">
      <w:pPr>
        <w:keepLines/>
        <w:spacing w:before="20" w:after="80"/>
        <w:jc w:val="both"/>
        <w:rPr>
          <w:lang w:val="es-CO"/>
        </w:rPr>
      </w:pPr>
      <w:r w:rsidRPr="004A2C8D">
        <w:rPr>
          <w:rFonts w:eastAsia="Times New Roman" w:cs="Times New Roman"/>
          <w:sz w:val="16"/>
          <w:lang w:val="es-CO"/>
        </w:rPr>
        <w:t>Nota. La tabla compara cobertura documentada, no otorga una puntuación de superioridad. LSL: Lab Streaming Layer; H10: sensor torácico Polar H10.</w:t>
      </w:r>
    </w:p>
    <w:p w14:paraId="1E15A083" w14:textId="77777777" w:rsidR="00FA6ADD" w:rsidRPr="004A2C8D" w:rsidRDefault="00000000">
      <w:pPr>
        <w:pStyle w:val="Heading2"/>
        <w:spacing w:before="80" w:after="40"/>
        <w:rPr>
          <w:lang w:val="es-CO"/>
        </w:rPr>
      </w:pPr>
      <w:r w:rsidRPr="004A2C8D">
        <w:rPr>
          <w:rFonts w:ascii="Times New Roman" w:eastAsia="Times New Roman" w:hAnsi="Times New Roman" w:cs="Times New Roman"/>
          <w:sz w:val="20"/>
          <w:lang w:val="es-CO"/>
        </w:rPr>
        <w:lastRenderedPageBreak/>
        <w:t>3.4 Localización y pertinencia para operadores hispanohablantes</w:t>
      </w:r>
    </w:p>
    <w:p w14:paraId="3EBB7B83" w14:textId="77777777" w:rsidR="00FA6ADD" w:rsidRPr="004A2C8D" w:rsidRDefault="00000000">
      <w:pPr>
        <w:spacing w:after="40"/>
        <w:ind w:firstLine="283"/>
        <w:jc w:val="both"/>
        <w:rPr>
          <w:lang w:val="es-CO"/>
        </w:rPr>
      </w:pPr>
      <w:r w:rsidRPr="004A2C8D">
        <w:rPr>
          <w:rFonts w:eastAsia="Times New Roman" w:cs="Times New Roman"/>
          <w:lang w:val="es-CO"/>
        </w:rPr>
        <w:t xml:space="preserve">El repositorio incorpora interfaz, instrucciones, cuestionarios y comunicaciones de </w:t>
      </w:r>
      <w:proofErr w:type="spellStart"/>
      <w:r w:rsidRPr="004A2C8D">
        <w:rPr>
          <w:rFonts w:eastAsia="Times New Roman" w:cs="Times New Roman"/>
          <w:lang w:val="es-CO"/>
        </w:rPr>
        <w:t>OpenMATB</w:t>
      </w:r>
      <w:proofErr w:type="spellEnd"/>
      <w:r w:rsidRPr="004A2C8D">
        <w:rPr>
          <w:rFonts w:eastAsia="Times New Roman" w:cs="Times New Roman"/>
          <w:lang w:val="es-CO"/>
        </w:rPr>
        <w:t xml:space="preserve"> en español de Colombia, con vocabulario aeronáutico y audio basado en fraseología de aviación. Esta localización reduce una barrera práctica para participantes hispanohablantes y facilita la estandarización de sesiones. Sin embargo, traducción funcional y equivalencia psicométrica no son sinónimos: NASA-TLX, ISA, Bedford y bancos SAGAT requieren documentación de traducción, pruebas cognitivas, análisis de comprensión y, cuando corresponda, evaluación de invariancia antes de comparar resultados entre idiomas.</w:t>
      </w:r>
    </w:p>
    <w:p w14:paraId="397E13BA" w14:textId="77777777" w:rsidR="00FA6ADD" w:rsidRPr="004A2C8D" w:rsidRDefault="00000000">
      <w:pPr>
        <w:pStyle w:val="Heading2"/>
        <w:spacing w:before="80" w:after="40"/>
        <w:rPr>
          <w:lang w:val="es-CO"/>
        </w:rPr>
      </w:pPr>
      <w:r w:rsidRPr="004A2C8D">
        <w:rPr>
          <w:rFonts w:ascii="Times New Roman" w:eastAsia="Times New Roman" w:hAnsi="Times New Roman" w:cs="Times New Roman"/>
          <w:sz w:val="20"/>
          <w:lang w:val="es-CO"/>
        </w:rPr>
        <w:t>3.5 Evidencia de conformidad y compuertas de calificación</w:t>
      </w:r>
    </w:p>
    <w:p w14:paraId="34C796D2" w14:textId="77777777" w:rsidR="00FA6ADD" w:rsidRPr="004A2C8D" w:rsidRDefault="00000000">
      <w:pPr>
        <w:spacing w:after="40"/>
        <w:ind w:firstLine="283"/>
        <w:jc w:val="both"/>
        <w:rPr>
          <w:lang w:val="es-CO"/>
        </w:rPr>
      </w:pPr>
      <w:r w:rsidRPr="004A2C8D">
        <w:rPr>
          <w:rFonts w:eastAsia="Times New Roman" w:cs="Times New Roman"/>
          <w:lang w:val="es-CO"/>
        </w:rPr>
        <w:t>La fase de software incluye escenarios con semilla, definiciones versionadas de métricas, registros ordenados, manifiestos, huellas criptográficas, reproducción determinista, pruebas de bibliotecas, servicios y navegador, y mecanismos de bloqueo ante perfiles incompatibles o datos ambiguos [45], [47], [48]. El seguimiento de sistemas utiliza oportunidades observadas para derivar sensibilidad; TRACK y RESMAN propagan métricas continuas; NASA-TLX distingue el promedio bruto corregido de sumas históricas; y los resultados estadísticos registran versión y elegibilidad. Estas características son innovación de infraestructura científica, porque reducen el riesgo de que una interfaz funcional produzca medidas irreproducibles.</w:t>
      </w:r>
    </w:p>
    <w:p w14:paraId="67F1BE5E" w14:textId="77777777" w:rsidR="00FA6ADD" w:rsidRPr="004A2C8D" w:rsidRDefault="00000000">
      <w:pPr>
        <w:spacing w:after="40"/>
        <w:ind w:firstLine="283"/>
        <w:jc w:val="both"/>
        <w:rPr>
          <w:lang w:val="es-CO"/>
        </w:rPr>
      </w:pPr>
      <w:r w:rsidRPr="004A2C8D">
        <w:rPr>
          <w:rFonts w:eastAsia="Times New Roman" w:cs="Times New Roman"/>
          <w:lang w:val="es-CO"/>
        </w:rPr>
        <w:t xml:space="preserve">La auditoría también encontró restricciones explícitas. Los niveles LOW, MEDIUM y HIGH continúan siendo </w:t>
      </w:r>
      <w:proofErr w:type="spellStart"/>
      <w:r w:rsidRPr="004A2C8D">
        <w:rPr>
          <w:rFonts w:eastAsia="Times New Roman" w:cs="Times New Roman"/>
          <w:lang w:val="es-CO"/>
        </w:rPr>
        <w:t>presets</w:t>
      </w:r>
      <w:proofErr w:type="spellEnd"/>
      <w:r w:rsidRPr="004A2C8D">
        <w:rPr>
          <w:rFonts w:eastAsia="Times New Roman" w:cs="Times New Roman"/>
          <w:lang w:val="es-CO"/>
        </w:rPr>
        <w:t xml:space="preserve"> de ingeniería hasta completar la calibración humana. El registro lógico no demuestra el instante físico de presentación visual o auditiva. Parte del flujo histórico de la consola deriva métricas desde archivos legados y permanece excluida de análisis confirmatorios hasta reconciliar identificadores con el flujo autoritativo de eventos. La automatización adaptativa se mantiene experimental. La captura Polar H10 es candidata de liberación y requiere aceptación con dispositivo físico. La Tabla 3 muestra el estado de cada clase de evidencia.</w:t>
      </w:r>
    </w:p>
    <w:p w14:paraId="40211250" w14:textId="77777777" w:rsidR="00FA6ADD" w:rsidRPr="004A2C8D" w:rsidRDefault="00000000">
      <w:pPr>
        <w:keepNext/>
        <w:keepLines/>
        <w:spacing w:before="80" w:after="40"/>
        <w:rPr>
          <w:lang w:val="es-CO"/>
        </w:rPr>
      </w:pPr>
      <w:r w:rsidRPr="004A2C8D">
        <w:rPr>
          <w:rFonts w:eastAsia="Times New Roman" w:cs="Times New Roman"/>
          <w:b/>
          <w:sz w:val="16"/>
          <w:lang w:val="es-CO"/>
        </w:rPr>
        <w:t>Tabla 3. Estado de la evidencia y compuertas de avance científico</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1332"/>
        <w:gridCol w:w="1928"/>
        <w:gridCol w:w="1389"/>
        <w:gridCol w:w="2069"/>
        <w:gridCol w:w="2353"/>
      </w:tblGrid>
      <w:tr w:rsidR="00FA6ADD" w14:paraId="5BFD5856" w14:textId="77777777">
        <w:trPr>
          <w:cantSplit/>
          <w:tblHeader/>
          <w:jc w:val="center"/>
        </w:trPr>
        <w:tc>
          <w:tcPr>
            <w:tcW w:w="1332" w:type="dxa"/>
            <w:shd w:val="clear" w:color="auto" w:fill="D0D0D0"/>
            <w:tcMar>
              <w:top w:w="50" w:type="dxa"/>
              <w:left w:w="70" w:type="dxa"/>
              <w:bottom w:w="50" w:type="dxa"/>
              <w:right w:w="70" w:type="dxa"/>
            </w:tcMar>
            <w:vAlign w:val="center"/>
          </w:tcPr>
          <w:p w14:paraId="4FC84BB2" w14:textId="77777777" w:rsidR="00FA6ADD" w:rsidRDefault="00000000">
            <w:pPr>
              <w:keepLines/>
              <w:jc w:val="center"/>
            </w:pPr>
            <w:r>
              <w:rPr>
                <w:rFonts w:eastAsia="Times New Roman" w:cs="Times New Roman"/>
                <w:b/>
                <w:sz w:val="15"/>
              </w:rPr>
              <w:t xml:space="preserve">Clase de </w:t>
            </w:r>
            <w:proofErr w:type="spellStart"/>
            <w:r>
              <w:rPr>
                <w:rFonts w:eastAsia="Times New Roman" w:cs="Times New Roman"/>
                <w:b/>
                <w:sz w:val="15"/>
              </w:rPr>
              <w:t>evidencia</w:t>
            </w:r>
            <w:proofErr w:type="spellEnd"/>
          </w:p>
        </w:tc>
        <w:tc>
          <w:tcPr>
            <w:tcW w:w="1928" w:type="dxa"/>
            <w:shd w:val="clear" w:color="auto" w:fill="D0D0D0"/>
            <w:tcMar>
              <w:top w:w="50" w:type="dxa"/>
              <w:left w:w="70" w:type="dxa"/>
              <w:bottom w:w="50" w:type="dxa"/>
              <w:right w:w="70" w:type="dxa"/>
            </w:tcMar>
            <w:vAlign w:val="center"/>
          </w:tcPr>
          <w:p w14:paraId="520CD430" w14:textId="77777777" w:rsidR="00FA6ADD" w:rsidRDefault="00000000">
            <w:pPr>
              <w:keepLines/>
              <w:jc w:val="center"/>
            </w:pPr>
            <w:r>
              <w:rPr>
                <w:rFonts w:eastAsia="Times New Roman" w:cs="Times New Roman"/>
                <w:b/>
                <w:sz w:val="15"/>
              </w:rPr>
              <w:t>Evidencia disponible</w:t>
            </w:r>
          </w:p>
        </w:tc>
        <w:tc>
          <w:tcPr>
            <w:tcW w:w="1389" w:type="dxa"/>
            <w:shd w:val="clear" w:color="auto" w:fill="D0D0D0"/>
            <w:tcMar>
              <w:top w:w="50" w:type="dxa"/>
              <w:left w:w="70" w:type="dxa"/>
              <w:bottom w:w="50" w:type="dxa"/>
              <w:right w:w="70" w:type="dxa"/>
            </w:tcMar>
            <w:vAlign w:val="center"/>
          </w:tcPr>
          <w:p w14:paraId="51351E30" w14:textId="77777777" w:rsidR="00FA6ADD" w:rsidRDefault="00000000">
            <w:pPr>
              <w:keepLines/>
              <w:jc w:val="center"/>
            </w:pPr>
            <w:r>
              <w:rPr>
                <w:rFonts w:eastAsia="Times New Roman" w:cs="Times New Roman"/>
                <w:b/>
                <w:sz w:val="15"/>
              </w:rPr>
              <w:t>Estado al corte</w:t>
            </w:r>
          </w:p>
        </w:tc>
        <w:tc>
          <w:tcPr>
            <w:tcW w:w="2069" w:type="dxa"/>
            <w:shd w:val="clear" w:color="auto" w:fill="D0D0D0"/>
            <w:tcMar>
              <w:top w:w="50" w:type="dxa"/>
              <w:left w:w="70" w:type="dxa"/>
              <w:bottom w:w="50" w:type="dxa"/>
              <w:right w:w="70" w:type="dxa"/>
            </w:tcMar>
            <w:vAlign w:val="center"/>
          </w:tcPr>
          <w:p w14:paraId="7DD3EEBA" w14:textId="77777777" w:rsidR="00FA6ADD" w:rsidRDefault="00000000">
            <w:pPr>
              <w:keepLines/>
              <w:jc w:val="center"/>
            </w:pPr>
            <w:r>
              <w:rPr>
                <w:rFonts w:eastAsia="Times New Roman" w:cs="Times New Roman"/>
                <w:b/>
                <w:sz w:val="15"/>
              </w:rPr>
              <w:t>Afirmación permitida</w:t>
            </w:r>
          </w:p>
        </w:tc>
        <w:tc>
          <w:tcPr>
            <w:tcW w:w="2353" w:type="dxa"/>
            <w:shd w:val="clear" w:color="auto" w:fill="D0D0D0"/>
            <w:tcMar>
              <w:top w:w="50" w:type="dxa"/>
              <w:left w:w="70" w:type="dxa"/>
              <w:bottom w:w="50" w:type="dxa"/>
              <w:right w:w="70" w:type="dxa"/>
            </w:tcMar>
            <w:vAlign w:val="center"/>
          </w:tcPr>
          <w:p w14:paraId="467A46DD" w14:textId="77777777" w:rsidR="00FA6ADD" w:rsidRDefault="00000000">
            <w:pPr>
              <w:keepLines/>
              <w:jc w:val="center"/>
            </w:pPr>
            <w:r>
              <w:rPr>
                <w:rFonts w:eastAsia="Times New Roman" w:cs="Times New Roman"/>
                <w:b/>
                <w:sz w:val="15"/>
              </w:rPr>
              <w:t>Siguiente requisito</w:t>
            </w:r>
          </w:p>
        </w:tc>
      </w:tr>
      <w:tr w:rsidR="00FA6ADD" w:rsidRPr="004A2C8D" w14:paraId="2241E4F4" w14:textId="77777777">
        <w:trPr>
          <w:cantSplit/>
          <w:jc w:val="center"/>
        </w:trPr>
        <w:tc>
          <w:tcPr>
            <w:tcW w:w="1332" w:type="dxa"/>
            <w:tcMar>
              <w:top w:w="50" w:type="dxa"/>
              <w:left w:w="70" w:type="dxa"/>
              <w:bottom w:w="50" w:type="dxa"/>
              <w:right w:w="70" w:type="dxa"/>
            </w:tcMar>
          </w:tcPr>
          <w:p w14:paraId="2132C318" w14:textId="77777777" w:rsidR="00FA6ADD" w:rsidRDefault="00000000">
            <w:r>
              <w:rPr>
                <w:rFonts w:eastAsia="Times New Roman" w:cs="Times New Roman"/>
                <w:sz w:val="15"/>
              </w:rPr>
              <w:t>Conformidad de software</w:t>
            </w:r>
          </w:p>
        </w:tc>
        <w:tc>
          <w:tcPr>
            <w:tcW w:w="1928" w:type="dxa"/>
            <w:tcMar>
              <w:top w:w="50" w:type="dxa"/>
              <w:left w:w="70" w:type="dxa"/>
              <w:bottom w:w="50" w:type="dxa"/>
              <w:right w:w="70" w:type="dxa"/>
            </w:tcMar>
          </w:tcPr>
          <w:p w14:paraId="3373401E" w14:textId="77777777" w:rsidR="00FA6ADD" w:rsidRPr="004A2C8D" w:rsidRDefault="00000000">
            <w:pPr>
              <w:rPr>
                <w:lang w:val="es-CO"/>
              </w:rPr>
            </w:pPr>
            <w:r w:rsidRPr="004A2C8D">
              <w:rPr>
                <w:rFonts w:eastAsia="Times New Roman" w:cs="Times New Roman"/>
                <w:sz w:val="15"/>
                <w:lang w:val="es-CO"/>
              </w:rPr>
              <w:t>Escenarios con semilla, esquemas, oráculos, pruebas, reproducción y hashes</w:t>
            </w:r>
          </w:p>
        </w:tc>
        <w:tc>
          <w:tcPr>
            <w:tcW w:w="1389" w:type="dxa"/>
            <w:tcMar>
              <w:top w:w="50" w:type="dxa"/>
              <w:left w:w="70" w:type="dxa"/>
              <w:bottom w:w="50" w:type="dxa"/>
              <w:right w:w="70" w:type="dxa"/>
            </w:tcMar>
          </w:tcPr>
          <w:p w14:paraId="676F94EA" w14:textId="77777777" w:rsidR="00FA6ADD" w:rsidRDefault="00000000">
            <w:proofErr w:type="spellStart"/>
            <w:r>
              <w:rPr>
                <w:rFonts w:eastAsia="Times New Roman" w:cs="Times New Roman"/>
                <w:sz w:val="15"/>
              </w:rPr>
              <w:t>Implementada</w:t>
            </w:r>
            <w:proofErr w:type="spellEnd"/>
            <w:r>
              <w:rPr>
                <w:rFonts w:eastAsia="Times New Roman" w:cs="Times New Roman"/>
                <w:sz w:val="15"/>
              </w:rPr>
              <w:t>/</w:t>
            </w:r>
            <w:proofErr w:type="spellStart"/>
            <w:r>
              <w:rPr>
                <w:rFonts w:eastAsia="Times New Roman" w:cs="Times New Roman"/>
                <w:sz w:val="15"/>
              </w:rPr>
              <w:t>documentada</w:t>
            </w:r>
            <w:proofErr w:type="spellEnd"/>
          </w:p>
        </w:tc>
        <w:tc>
          <w:tcPr>
            <w:tcW w:w="2069" w:type="dxa"/>
            <w:tcMar>
              <w:top w:w="50" w:type="dxa"/>
              <w:left w:w="70" w:type="dxa"/>
              <w:bottom w:w="50" w:type="dxa"/>
              <w:right w:w="70" w:type="dxa"/>
            </w:tcMar>
          </w:tcPr>
          <w:p w14:paraId="3EB0C2EE" w14:textId="77777777" w:rsidR="00FA6ADD" w:rsidRPr="004A2C8D" w:rsidRDefault="00000000">
            <w:pPr>
              <w:rPr>
                <w:lang w:val="es-CO"/>
              </w:rPr>
            </w:pPr>
            <w:r w:rsidRPr="004A2C8D">
              <w:rPr>
                <w:rFonts w:eastAsia="Times New Roman" w:cs="Times New Roman"/>
                <w:sz w:val="15"/>
                <w:lang w:val="es-CO"/>
              </w:rPr>
              <w:t>El artefacto puede reproducir y auditar funciones bajo las condiciones verificadas</w:t>
            </w:r>
          </w:p>
        </w:tc>
        <w:tc>
          <w:tcPr>
            <w:tcW w:w="2353" w:type="dxa"/>
            <w:tcMar>
              <w:top w:w="50" w:type="dxa"/>
              <w:left w:w="70" w:type="dxa"/>
              <w:bottom w:w="50" w:type="dxa"/>
              <w:right w:w="70" w:type="dxa"/>
            </w:tcMar>
          </w:tcPr>
          <w:p w14:paraId="1E32E9D9" w14:textId="77777777" w:rsidR="00FA6ADD" w:rsidRPr="004A2C8D" w:rsidRDefault="00000000">
            <w:pPr>
              <w:rPr>
                <w:lang w:val="es-CO"/>
              </w:rPr>
            </w:pPr>
            <w:r w:rsidRPr="004A2C8D">
              <w:rPr>
                <w:rFonts w:eastAsia="Times New Roman" w:cs="Times New Roman"/>
                <w:sz w:val="15"/>
                <w:lang w:val="es-CO"/>
              </w:rPr>
              <w:t>Revisión independiente y liberación archivada</w:t>
            </w:r>
          </w:p>
        </w:tc>
      </w:tr>
      <w:tr w:rsidR="00FA6ADD" w:rsidRPr="004A2C8D" w14:paraId="5CEE38A5" w14:textId="77777777">
        <w:trPr>
          <w:cantSplit/>
          <w:jc w:val="center"/>
        </w:trPr>
        <w:tc>
          <w:tcPr>
            <w:tcW w:w="1332" w:type="dxa"/>
            <w:shd w:val="clear" w:color="auto" w:fill="F2F2F2"/>
            <w:tcMar>
              <w:top w:w="50" w:type="dxa"/>
              <w:left w:w="70" w:type="dxa"/>
              <w:bottom w:w="50" w:type="dxa"/>
              <w:right w:w="70" w:type="dxa"/>
            </w:tcMar>
          </w:tcPr>
          <w:p w14:paraId="54F9242E" w14:textId="77777777" w:rsidR="00FA6ADD" w:rsidRDefault="00000000">
            <w:r>
              <w:rPr>
                <w:rFonts w:eastAsia="Times New Roman" w:cs="Times New Roman"/>
                <w:sz w:val="15"/>
              </w:rPr>
              <w:t xml:space="preserve">Tiempo </w:t>
            </w:r>
            <w:proofErr w:type="spellStart"/>
            <w:r>
              <w:rPr>
                <w:rFonts w:eastAsia="Times New Roman" w:cs="Times New Roman"/>
                <w:sz w:val="15"/>
              </w:rPr>
              <w:t>físico</w:t>
            </w:r>
            <w:proofErr w:type="spellEnd"/>
          </w:p>
        </w:tc>
        <w:tc>
          <w:tcPr>
            <w:tcW w:w="1928" w:type="dxa"/>
            <w:shd w:val="clear" w:color="auto" w:fill="F2F2F2"/>
            <w:tcMar>
              <w:top w:w="50" w:type="dxa"/>
              <w:left w:w="70" w:type="dxa"/>
              <w:bottom w:w="50" w:type="dxa"/>
              <w:right w:w="70" w:type="dxa"/>
            </w:tcMar>
          </w:tcPr>
          <w:p w14:paraId="74EDD3BF" w14:textId="77777777" w:rsidR="00FA6ADD" w:rsidRPr="004A2C8D" w:rsidRDefault="00000000">
            <w:pPr>
              <w:rPr>
                <w:lang w:val="es-CO"/>
              </w:rPr>
            </w:pPr>
            <w:r w:rsidRPr="004A2C8D">
              <w:rPr>
                <w:rFonts w:eastAsia="Times New Roman" w:cs="Times New Roman"/>
                <w:sz w:val="15"/>
                <w:lang w:val="es-CO"/>
              </w:rPr>
              <w:t>Contratos de reloj y protocolo de fotodiodo, audio e input</w:t>
            </w:r>
          </w:p>
        </w:tc>
        <w:tc>
          <w:tcPr>
            <w:tcW w:w="1389" w:type="dxa"/>
            <w:shd w:val="clear" w:color="auto" w:fill="F2F2F2"/>
            <w:tcMar>
              <w:top w:w="50" w:type="dxa"/>
              <w:left w:w="70" w:type="dxa"/>
              <w:bottom w:w="50" w:type="dxa"/>
              <w:right w:w="70" w:type="dxa"/>
            </w:tcMar>
          </w:tcPr>
          <w:p w14:paraId="62E13AD3" w14:textId="77777777" w:rsidR="00FA6ADD" w:rsidRDefault="00000000">
            <w:proofErr w:type="spellStart"/>
            <w:r>
              <w:rPr>
                <w:rFonts w:eastAsia="Times New Roman" w:cs="Times New Roman"/>
                <w:sz w:val="15"/>
              </w:rPr>
              <w:t>Pendiente</w:t>
            </w:r>
            <w:proofErr w:type="spellEnd"/>
            <w:r>
              <w:rPr>
                <w:rFonts w:eastAsia="Times New Roman" w:cs="Times New Roman"/>
                <w:sz w:val="15"/>
              </w:rPr>
              <w:t xml:space="preserve"> </w:t>
            </w:r>
            <w:proofErr w:type="spellStart"/>
            <w:r>
              <w:rPr>
                <w:rFonts w:eastAsia="Times New Roman" w:cs="Times New Roman"/>
                <w:sz w:val="15"/>
              </w:rPr>
              <w:t>en</w:t>
            </w:r>
            <w:proofErr w:type="spellEnd"/>
            <w:r>
              <w:rPr>
                <w:rFonts w:eastAsia="Times New Roman" w:cs="Times New Roman"/>
                <w:sz w:val="15"/>
              </w:rPr>
              <w:t xml:space="preserve"> </w:t>
            </w:r>
            <w:proofErr w:type="spellStart"/>
            <w:r>
              <w:rPr>
                <w:rFonts w:eastAsia="Times New Roman" w:cs="Times New Roman"/>
                <w:sz w:val="15"/>
              </w:rPr>
              <w:t>equipo</w:t>
            </w:r>
            <w:proofErr w:type="spellEnd"/>
            <w:r>
              <w:rPr>
                <w:rFonts w:eastAsia="Times New Roman" w:cs="Times New Roman"/>
                <w:sz w:val="15"/>
              </w:rPr>
              <w:t xml:space="preserve"> nominal</w:t>
            </w:r>
          </w:p>
        </w:tc>
        <w:tc>
          <w:tcPr>
            <w:tcW w:w="2069" w:type="dxa"/>
            <w:shd w:val="clear" w:color="auto" w:fill="F2F2F2"/>
            <w:tcMar>
              <w:top w:w="50" w:type="dxa"/>
              <w:left w:w="70" w:type="dxa"/>
              <w:bottom w:w="50" w:type="dxa"/>
              <w:right w:w="70" w:type="dxa"/>
            </w:tcMar>
          </w:tcPr>
          <w:p w14:paraId="759A94FA" w14:textId="77777777" w:rsidR="00FA6ADD" w:rsidRPr="004A2C8D" w:rsidRDefault="00000000">
            <w:pPr>
              <w:rPr>
                <w:lang w:val="es-CO"/>
              </w:rPr>
            </w:pPr>
            <w:r w:rsidRPr="004A2C8D">
              <w:rPr>
                <w:rFonts w:eastAsia="Times New Roman" w:cs="Times New Roman"/>
                <w:sz w:val="15"/>
                <w:lang w:val="es-CO"/>
              </w:rPr>
              <w:t>Solo orden y marcas lógicas; no latencia física</w:t>
            </w:r>
          </w:p>
        </w:tc>
        <w:tc>
          <w:tcPr>
            <w:tcW w:w="2353" w:type="dxa"/>
            <w:shd w:val="clear" w:color="auto" w:fill="F2F2F2"/>
            <w:tcMar>
              <w:top w:w="50" w:type="dxa"/>
              <w:left w:w="70" w:type="dxa"/>
              <w:bottom w:w="50" w:type="dxa"/>
              <w:right w:w="70" w:type="dxa"/>
            </w:tcMar>
          </w:tcPr>
          <w:p w14:paraId="46524357" w14:textId="77777777" w:rsidR="00FA6ADD" w:rsidRPr="004A2C8D" w:rsidRDefault="00000000">
            <w:pPr>
              <w:rPr>
                <w:lang w:val="es-CO"/>
              </w:rPr>
            </w:pPr>
            <w:r w:rsidRPr="004A2C8D">
              <w:rPr>
                <w:rFonts w:eastAsia="Times New Roman" w:cs="Times New Roman"/>
                <w:sz w:val="15"/>
                <w:lang w:val="es-CO"/>
              </w:rPr>
              <w:t xml:space="preserve">Caracterización por equipo y límites </w:t>
            </w:r>
            <w:proofErr w:type="spellStart"/>
            <w:r w:rsidRPr="004A2C8D">
              <w:rPr>
                <w:rFonts w:eastAsia="Times New Roman" w:cs="Times New Roman"/>
                <w:sz w:val="15"/>
                <w:lang w:val="es-CO"/>
              </w:rPr>
              <w:t>prerregistrados</w:t>
            </w:r>
            <w:proofErr w:type="spellEnd"/>
          </w:p>
        </w:tc>
      </w:tr>
      <w:tr w:rsidR="00FA6ADD" w:rsidRPr="004A2C8D" w14:paraId="79DE399D" w14:textId="77777777">
        <w:trPr>
          <w:cantSplit/>
          <w:jc w:val="center"/>
        </w:trPr>
        <w:tc>
          <w:tcPr>
            <w:tcW w:w="1332" w:type="dxa"/>
            <w:tcMar>
              <w:top w:w="50" w:type="dxa"/>
              <w:left w:w="70" w:type="dxa"/>
              <w:bottom w:w="50" w:type="dxa"/>
              <w:right w:w="70" w:type="dxa"/>
            </w:tcMar>
          </w:tcPr>
          <w:p w14:paraId="39FFFC31" w14:textId="77777777" w:rsidR="00FA6ADD" w:rsidRDefault="00000000">
            <w:proofErr w:type="spellStart"/>
            <w:r>
              <w:rPr>
                <w:rFonts w:eastAsia="Times New Roman" w:cs="Times New Roman"/>
                <w:sz w:val="15"/>
              </w:rPr>
              <w:t>Calibración</w:t>
            </w:r>
            <w:proofErr w:type="spellEnd"/>
            <w:r>
              <w:rPr>
                <w:rFonts w:eastAsia="Times New Roman" w:cs="Times New Roman"/>
                <w:sz w:val="15"/>
              </w:rPr>
              <w:t xml:space="preserve"> de carga</w:t>
            </w:r>
          </w:p>
        </w:tc>
        <w:tc>
          <w:tcPr>
            <w:tcW w:w="1928" w:type="dxa"/>
            <w:tcMar>
              <w:top w:w="50" w:type="dxa"/>
              <w:left w:w="70" w:type="dxa"/>
              <w:bottom w:w="50" w:type="dxa"/>
              <w:right w:w="70" w:type="dxa"/>
            </w:tcMar>
          </w:tcPr>
          <w:p w14:paraId="2C7AAD02" w14:textId="77777777" w:rsidR="00FA6ADD" w:rsidRDefault="00000000">
            <w:r>
              <w:rPr>
                <w:rFonts w:eastAsia="Times New Roman" w:cs="Times New Roman"/>
                <w:sz w:val="15"/>
              </w:rPr>
              <w:t>Presets LOW/MEDIUM/HIGH y escalas integradas</w:t>
            </w:r>
          </w:p>
        </w:tc>
        <w:tc>
          <w:tcPr>
            <w:tcW w:w="1389" w:type="dxa"/>
            <w:tcMar>
              <w:top w:w="50" w:type="dxa"/>
              <w:left w:w="70" w:type="dxa"/>
              <w:bottom w:w="50" w:type="dxa"/>
              <w:right w:w="70" w:type="dxa"/>
            </w:tcMar>
          </w:tcPr>
          <w:p w14:paraId="794BEAF5" w14:textId="77777777" w:rsidR="00FA6ADD" w:rsidRDefault="00000000">
            <w:r>
              <w:rPr>
                <w:rFonts w:eastAsia="Times New Roman" w:cs="Times New Roman"/>
                <w:sz w:val="15"/>
              </w:rPr>
              <w:t>Pendiente</w:t>
            </w:r>
          </w:p>
        </w:tc>
        <w:tc>
          <w:tcPr>
            <w:tcW w:w="2069" w:type="dxa"/>
            <w:tcMar>
              <w:top w:w="50" w:type="dxa"/>
              <w:left w:w="70" w:type="dxa"/>
              <w:bottom w:w="50" w:type="dxa"/>
              <w:right w:w="70" w:type="dxa"/>
            </w:tcMar>
          </w:tcPr>
          <w:p w14:paraId="7081B2E9" w14:textId="77777777" w:rsidR="00FA6ADD" w:rsidRPr="004A2C8D" w:rsidRDefault="00000000">
            <w:pPr>
              <w:rPr>
                <w:lang w:val="es-CO"/>
              </w:rPr>
            </w:pPr>
            <w:r w:rsidRPr="004A2C8D">
              <w:rPr>
                <w:rFonts w:eastAsia="Times New Roman" w:cs="Times New Roman"/>
                <w:sz w:val="15"/>
                <w:lang w:val="es-CO"/>
              </w:rPr>
              <w:t>Niveles de ingeniería, no niveles humanos calibrados</w:t>
            </w:r>
          </w:p>
        </w:tc>
        <w:tc>
          <w:tcPr>
            <w:tcW w:w="2353" w:type="dxa"/>
            <w:tcMar>
              <w:top w:w="50" w:type="dxa"/>
              <w:left w:w="70" w:type="dxa"/>
              <w:bottom w:w="50" w:type="dxa"/>
              <w:right w:w="70" w:type="dxa"/>
            </w:tcMar>
          </w:tcPr>
          <w:p w14:paraId="3AB982DD" w14:textId="77777777" w:rsidR="00FA6ADD" w:rsidRPr="004A2C8D" w:rsidRDefault="00000000">
            <w:pPr>
              <w:rPr>
                <w:lang w:val="es-CO"/>
              </w:rPr>
            </w:pPr>
            <w:r w:rsidRPr="004A2C8D">
              <w:rPr>
                <w:rFonts w:eastAsia="Times New Roman" w:cs="Times New Roman"/>
                <w:sz w:val="15"/>
                <w:lang w:val="es-CO"/>
              </w:rPr>
              <w:t>Estudio dosis–respuesta con control de techo/piso</w:t>
            </w:r>
          </w:p>
        </w:tc>
      </w:tr>
      <w:tr w:rsidR="00FA6ADD" w:rsidRPr="004A2C8D" w14:paraId="473CAB8E" w14:textId="77777777">
        <w:trPr>
          <w:cantSplit/>
          <w:jc w:val="center"/>
        </w:trPr>
        <w:tc>
          <w:tcPr>
            <w:tcW w:w="1332" w:type="dxa"/>
            <w:shd w:val="clear" w:color="auto" w:fill="F2F2F2"/>
            <w:tcMar>
              <w:top w:w="50" w:type="dxa"/>
              <w:left w:w="70" w:type="dxa"/>
              <w:bottom w:w="50" w:type="dxa"/>
              <w:right w:w="70" w:type="dxa"/>
            </w:tcMar>
          </w:tcPr>
          <w:p w14:paraId="5D553A5D" w14:textId="77777777" w:rsidR="00FA6ADD" w:rsidRDefault="00000000">
            <w:proofErr w:type="spellStart"/>
            <w:r>
              <w:rPr>
                <w:rFonts w:eastAsia="Times New Roman" w:cs="Times New Roman"/>
                <w:sz w:val="15"/>
              </w:rPr>
              <w:t>Confiabilidad</w:t>
            </w:r>
            <w:proofErr w:type="spellEnd"/>
            <w:r>
              <w:rPr>
                <w:rFonts w:eastAsia="Times New Roman" w:cs="Times New Roman"/>
                <w:sz w:val="15"/>
              </w:rPr>
              <w:t xml:space="preserve"> humana</w:t>
            </w:r>
          </w:p>
        </w:tc>
        <w:tc>
          <w:tcPr>
            <w:tcW w:w="1928" w:type="dxa"/>
            <w:shd w:val="clear" w:color="auto" w:fill="F2F2F2"/>
            <w:tcMar>
              <w:top w:w="50" w:type="dxa"/>
              <w:left w:w="70" w:type="dxa"/>
              <w:bottom w:w="50" w:type="dxa"/>
              <w:right w:w="70" w:type="dxa"/>
            </w:tcMar>
          </w:tcPr>
          <w:p w14:paraId="29ACE537" w14:textId="77777777" w:rsidR="00FA6ADD" w:rsidRPr="004A2C8D" w:rsidRDefault="00000000">
            <w:pPr>
              <w:rPr>
                <w:lang w:val="es-CO"/>
              </w:rPr>
            </w:pPr>
            <w:r w:rsidRPr="004A2C8D">
              <w:rPr>
                <w:rFonts w:eastAsia="Times New Roman" w:cs="Times New Roman"/>
                <w:sz w:val="15"/>
                <w:lang w:val="es-CO"/>
              </w:rPr>
              <w:t>Diseño de visitas y métricas versionadas</w:t>
            </w:r>
          </w:p>
        </w:tc>
        <w:tc>
          <w:tcPr>
            <w:tcW w:w="1389" w:type="dxa"/>
            <w:shd w:val="clear" w:color="auto" w:fill="F2F2F2"/>
            <w:tcMar>
              <w:top w:w="50" w:type="dxa"/>
              <w:left w:w="70" w:type="dxa"/>
              <w:bottom w:w="50" w:type="dxa"/>
              <w:right w:w="70" w:type="dxa"/>
            </w:tcMar>
          </w:tcPr>
          <w:p w14:paraId="68E24A3E" w14:textId="77777777" w:rsidR="00FA6ADD" w:rsidRDefault="00000000">
            <w:proofErr w:type="spellStart"/>
            <w:r>
              <w:rPr>
                <w:rFonts w:eastAsia="Times New Roman" w:cs="Times New Roman"/>
                <w:sz w:val="15"/>
              </w:rPr>
              <w:t>Pendiente</w:t>
            </w:r>
            <w:proofErr w:type="spellEnd"/>
          </w:p>
        </w:tc>
        <w:tc>
          <w:tcPr>
            <w:tcW w:w="2069" w:type="dxa"/>
            <w:shd w:val="clear" w:color="auto" w:fill="F2F2F2"/>
            <w:tcMar>
              <w:top w:w="50" w:type="dxa"/>
              <w:left w:w="70" w:type="dxa"/>
              <w:bottom w:w="50" w:type="dxa"/>
              <w:right w:w="70" w:type="dxa"/>
            </w:tcMar>
          </w:tcPr>
          <w:p w14:paraId="4C470F81" w14:textId="77777777" w:rsidR="00FA6ADD" w:rsidRDefault="00000000">
            <w:r>
              <w:rPr>
                <w:rFonts w:eastAsia="Times New Roman" w:cs="Times New Roman"/>
                <w:sz w:val="15"/>
              </w:rPr>
              <w:t>Factibilidad de medición repetida</w:t>
            </w:r>
          </w:p>
        </w:tc>
        <w:tc>
          <w:tcPr>
            <w:tcW w:w="2353" w:type="dxa"/>
            <w:shd w:val="clear" w:color="auto" w:fill="F2F2F2"/>
            <w:tcMar>
              <w:top w:w="50" w:type="dxa"/>
              <w:left w:w="70" w:type="dxa"/>
              <w:bottom w:w="50" w:type="dxa"/>
              <w:right w:w="70" w:type="dxa"/>
            </w:tcMar>
          </w:tcPr>
          <w:p w14:paraId="5D2A9FAE" w14:textId="77777777" w:rsidR="00FA6ADD" w:rsidRPr="004A2C8D" w:rsidRDefault="00000000">
            <w:pPr>
              <w:rPr>
                <w:lang w:val="es-CO"/>
              </w:rPr>
            </w:pPr>
            <w:r w:rsidRPr="004A2C8D">
              <w:rPr>
                <w:rFonts w:eastAsia="Times New Roman" w:cs="Times New Roman"/>
                <w:sz w:val="15"/>
                <w:lang w:val="es-CO"/>
              </w:rPr>
              <w:t>Test–</w:t>
            </w:r>
            <w:proofErr w:type="spellStart"/>
            <w:r w:rsidRPr="004A2C8D">
              <w:rPr>
                <w:rFonts w:eastAsia="Times New Roman" w:cs="Times New Roman"/>
                <w:sz w:val="15"/>
                <w:lang w:val="es-CO"/>
              </w:rPr>
              <w:t>retest</w:t>
            </w:r>
            <w:proofErr w:type="spellEnd"/>
            <w:r w:rsidRPr="004A2C8D">
              <w:rPr>
                <w:rFonts w:eastAsia="Times New Roman" w:cs="Times New Roman"/>
                <w:sz w:val="15"/>
                <w:lang w:val="es-CO"/>
              </w:rPr>
              <w:t>, SEM, MDC y modelado de aprendizaje</w:t>
            </w:r>
          </w:p>
        </w:tc>
      </w:tr>
      <w:tr w:rsidR="00FA6ADD" w:rsidRPr="004A2C8D" w14:paraId="6CFB1073" w14:textId="77777777">
        <w:trPr>
          <w:cantSplit/>
          <w:jc w:val="center"/>
        </w:trPr>
        <w:tc>
          <w:tcPr>
            <w:tcW w:w="1332" w:type="dxa"/>
            <w:tcMar>
              <w:top w:w="50" w:type="dxa"/>
              <w:left w:w="70" w:type="dxa"/>
              <w:bottom w:w="50" w:type="dxa"/>
              <w:right w:w="70" w:type="dxa"/>
            </w:tcMar>
          </w:tcPr>
          <w:p w14:paraId="7D8E3C27" w14:textId="77777777" w:rsidR="00FA6ADD" w:rsidRDefault="00000000">
            <w:proofErr w:type="spellStart"/>
            <w:r>
              <w:rPr>
                <w:rFonts w:eastAsia="Times New Roman" w:cs="Times New Roman"/>
                <w:sz w:val="15"/>
              </w:rPr>
              <w:t>Validez</w:t>
            </w:r>
            <w:proofErr w:type="spellEnd"/>
            <w:r>
              <w:rPr>
                <w:rFonts w:eastAsia="Times New Roman" w:cs="Times New Roman"/>
                <w:sz w:val="15"/>
              </w:rPr>
              <w:t xml:space="preserve"> de </w:t>
            </w:r>
            <w:proofErr w:type="spellStart"/>
            <w:r>
              <w:rPr>
                <w:rFonts w:eastAsia="Times New Roman" w:cs="Times New Roman"/>
                <w:sz w:val="15"/>
              </w:rPr>
              <w:t>constructo</w:t>
            </w:r>
            <w:proofErr w:type="spellEnd"/>
            <w:r>
              <w:rPr>
                <w:rFonts w:eastAsia="Times New Roman" w:cs="Times New Roman"/>
                <w:sz w:val="15"/>
              </w:rPr>
              <w:t>/</w:t>
            </w:r>
            <w:proofErr w:type="spellStart"/>
            <w:r>
              <w:rPr>
                <w:rFonts w:eastAsia="Times New Roman" w:cs="Times New Roman"/>
                <w:sz w:val="15"/>
              </w:rPr>
              <w:t>criterio</w:t>
            </w:r>
            <w:proofErr w:type="spellEnd"/>
          </w:p>
        </w:tc>
        <w:tc>
          <w:tcPr>
            <w:tcW w:w="1928" w:type="dxa"/>
            <w:tcMar>
              <w:top w:w="50" w:type="dxa"/>
              <w:left w:w="70" w:type="dxa"/>
              <w:bottom w:w="50" w:type="dxa"/>
              <w:right w:w="70" w:type="dxa"/>
            </w:tcMar>
          </w:tcPr>
          <w:p w14:paraId="54A68EA4" w14:textId="77777777" w:rsidR="00FA6ADD" w:rsidRPr="004A2C8D" w:rsidRDefault="00000000">
            <w:pPr>
              <w:rPr>
                <w:lang w:val="es-CO"/>
              </w:rPr>
            </w:pPr>
            <w:r w:rsidRPr="004A2C8D">
              <w:rPr>
                <w:rFonts w:eastAsia="Times New Roman" w:cs="Times New Roman"/>
                <w:sz w:val="15"/>
                <w:lang w:val="es-CO"/>
              </w:rPr>
              <w:t>Mapeo de constructos y desenlaces</w:t>
            </w:r>
          </w:p>
        </w:tc>
        <w:tc>
          <w:tcPr>
            <w:tcW w:w="1389" w:type="dxa"/>
            <w:tcMar>
              <w:top w:w="50" w:type="dxa"/>
              <w:left w:w="70" w:type="dxa"/>
              <w:bottom w:w="50" w:type="dxa"/>
              <w:right w:w="70" w:type="dxa"/>
            </w:tcMar>
          </w:tcPr>
          <w:p w14:paraId="14BB07C4" w14:textId="77777777" w:rsidR="00FA6ADD" w:rsidRDefault="00000000">
            <w:proofErr w:type="spellStart"/>
            <w:r>
              <w:rPr>
                <w:rFonts w:eastAsia="Times New Roman" w:cs="Times New Roman"/>
                <w:sz w:val="15"/>
              </w:rPr>
              <w:t>Pendiente</w:t>
            </w:r>
            <w:proofErr w:type="spellEnd"/>
          </w:p>
        </w:tc>
        <w:tc>
          <w:tcPr>
            <w:tcW w:w="2069" w:type="dxa"/>
            <w:tcMar>
              <w:top w:w="50" w:type="dxa"/>
              <w:left w:w="70" w:type="dxa"/>
              <w:bottom w:w="50" w:type="dxa"/>
              <w:right w:w="70" w:type="dxa"/>
            </w:tcMar>
          </w:tcPr>
          <w:p w14:paraId="6625AA0A" w14:textId="77777777" w:rsidR="00FA6ADD" w:rsidRDefault="00000000">
            <w:r>
              <w:rPr>
                <w:rFonts w:eastAsia="Times New Roman" w:cs="Times New Roman"/>
                <w:sz w:val="15"/>
              </w:rPr>
              <w:t>Hipótesis plausibles de medición</w:t>
            </w:r>
          </w:p>
        </w:tc>
        <w:tc>
          <w:tcPr>
            <w:tcW w:w="2353" w:type="dxa"/>
            <w:tcMar>
              <w:top w:w="50" w:type="dxa"/>
              <w:left w:w="70" w:type="dxa"/>
              <w:bottom w:w="50" w:type="dxa"/>
              <w:right w:w="70" w:type="dxa"/>
            </w:tcMar>
          </w:tcPr>
          <w:p w14:paraId="4DF9388B" w14:textId="77777777" w:rsidR="00FA6ADD" w:rsidRPr="004A2C8D" w:rsidRDefault="00000000">
            <w:pPr>
              <w:rPr>
                <w:lang w:val="es-CO"/>
              </w:rPr>
            </w:pPr>
            <w:r w:rsidRPr="004A2C8D">
              <w:rPr>
                <w:rFonts w:eastAsia="Times New Roman" w:cs="Times New Roman"/>
                <w:sz w:val="15"/>
                <w:lang w:val="es-CO"/>
              </w:rPr>
              <w:t>Convergencia, discriminación y criterios externos</w:t>
            </w:r>
          </w:p>
        </w:tc>
      </w:tr>
      <w:tr w:rsidR="00FA6ADD" w:rsidRPr="004A2C8D" w14:paraId="0A090312" w14:textId="77777777">
        <w:trPr>
          <w:cantSplit/>
          <w:jc w:val="center"/>
        </w:trPr>
        <w:tc>
          <w:tcPr>
            <w:tcW w:w="1332" w:type="dxa"/>
            <w:shd w:val="clear" w:color="auto" w:fill="F2F2F2"/>
            <w:tcMar>
              <w:top w:w="50" w:type="dxa"/>
              <w:left w:w="70" w:type="dxa"/>
              <w:bottom w:w="50" w:type="dxa"/>
              <w:right w:w="70" w:type="dxa"/>
            </w:tcMar>
          </w:tcPr>
          <w:p w14:paraId="76B2F174" w14:textId="77777777" w:rsidR="00FA6ADD" w:rsidRDefault="00000000">
            <w:proofErr w:type="spellStart"/>
            <w:r>
              <w:rPr>
                <w:rFonts w:eastAsia="Times New Roman" w:cs="Times New Roman"/>
                <w:sz w:val="15"/>
              </w:rPr>
              <w:t>Transferencia</w:t>
            </w:r>
            <w:proofErr w:type="spellEnd"/>
            <w:r>
              <w:rPr>
                <w:rFonts w:eastAsia="Times New Roman" w:cs="Times New Roman"/>
                <w:sz w:val="15"/>
              </w:rPr>
              <w:t xml:space="preserve"> al </w:t>
            </w:r>
            <w:proofErr w:type="spellStart"/>
            <w:r>
              <w:rPr>
                <w:rFonts w:eastAsia="Times New Roman" w:cs="Times New Roman"/>
                <w:sz w:val="15"/>
              </w:rPr>
              <w:t>vuelo</w:t>
            </w:r>
            <w:proofErr w:type="spellEnd"/>
            <w:r>
              <w:rPr>
                <w:rFonts w:eastAsia="Times New Roman" w:cs="Times New Roman"/>
                <w:sz w:val="15"/>
              </w:rPr>
              <w:t xml:space="preserve"> real</w:t>
            </w:r>
          </w:p>
        </w:tc>
        <w:tc>
          <w:tcPr>
            <w:tcW w:w="1928" w:type="dxa"/>
            <w:shd w:val="clear" w:color="auto" w:fill="F2F2F2"/>
            <w:tcMar>
              <w:top w:w="50" w:type="dxa"/>
              <w:left w:w="70" w:type="dxa"/>
              <w:bottom w:w="50" w:type="dxa"/>
              <w:right w:w="70" w:type="dxa"/>
            </w:tcMar>
          </w:tcPr>
          <w:p w14:paraId="49E5DBB6" w14:textId="77777777" w:rsidR="00FA6ADD" w:rsidRPr="004A2C8D" w:rsidRDefault="00000000">
            <w:pPr>
              <w:rPr>
                <w:lang w:val="es-CO"/>
              </w:rPr>
            </w:pPr>
            <w:r w:rsidRPr="004A2C8D">
              <w:rPr>
                <w:rFonts w:eastAsia="Times New Roman" w:cs="Times New Roman"/>
                <w:sz w:val="15"/>
                <w:lang w:val="es-CO"/>
              </w:rPr>
              <w:t>Tarea FPV estandarizada en simulador</w:t>
            </w:r>
          </w:p>
        </w:tc>
        <w:tc>
          <w:tcPr>
            <w:tcW w:w="1389" w:type="dxa"/>
            <w:shd w:val="clear" w:color="auto" w:fill="F2F2F2"/>
            <w:tcMar>
              <w:top w:w="50" w:type="dxa"/>
              <w:left w:w="70" w:type="dxa"/>
              <w:bottom w:w="50" w:type="dxa"/>
              <w:right w:w="70" w:type="dxa"/>
            </w:tcMar>
          </w:tcPr>
          <w:p w14:paraId="122AB69A" w14:textId="77777777" w:rsidR="00FA6ADD" w:rsidRDefault="00000000">
            <w:r>
              <w:rPr>
                <w:rFonts w:eastAsia="Times New Roman" w:cs="Times New Roman"/>
                <w:sz w:val="15"/>
              </w:rPr>
              <w:t xml:space="preserve">No </w:t>
            </w:r>
            <w:proofErr w:type="spellStart"/>
            <w:r>
              <w:rPr>
                <w:rFonts w:eastAsia="Times New Roman" w:cs="Times New Roman"/>
                <w:sz w:val="15"/>
              </w:rPr>
              <w:t>demostrada</w:t>
            </w:r>
            <w:proofErr w:type="spellEnd"/>
          </w:p>
        </w:tc>
        <w:tc>
          <w:tcPr>
            <w:tcW w:w="2069" w:type="dxa"/>
            <w:shd w:val="clear" w:color="auto" w:fill="F2F2F2"/>
            <w:tcMar>
              <w:top w:w="50" w:type="dxa"/>
              <w:left w:w="70" w:type="dxa"/>
              <w:bottom w:w="50" w:type="dxa"/>
              <w:right w:w="70" w:type="dxa"/>
            </w:tcMar>
          </w:tcPr>
          <w:p w14:paraId="0BABF17D" w14:textId="77777777" w:rsidR="00FA6ADD" w:rsidRDefault="00000000">
            <w:r>
              <w:rPr>
                <w:rFonts w:eastAsia="Times New Roman" w:cs="Times New Roman"/>
                <w:sz w:val="15"/>
              </w:rPr>
              <w:t>Desempeño en simulación</w:t>
            </w:r>
          </w:p>
        </w:tc>
        <w:tc>
          <w:tcPr>
            <w:tcW w:w="2353" w:type="dxa"/>
            <w:shd w:val="clear" w:color="auto" w:fill="F2F2F2"/>
            <w:tcMar>
              <w:top w:w="50" w:type="dxa"/>
              <w:left w:w="70" w:type="dxa"/>
              <w:bottom w:w="50" w:type="dxa"/>
              <w:right w:w="70" w:type="dxa"/>
            </w:tcMar>
          </w:tcPr>
          <w:p w14:paraId="5E5BFD15" w14:textId="77777777" w:rsidR="00FA6ADD" w:rsidRPr="004A2C8D" w:rsidRDefault="00000000">
            <w:pPr>
              <w:rPr>
                <w:lang w:val="es-CO"/>
              </w:rPr>
            </w:pPr>
            <w:r w:rsidRPr="004A2C8D">
              <w:rPr>
                <w:rFonts w:eastAsia="Times New Roman" w:cs="Times New Roman"/>
                <w:sz w:val="15"/>
                <w:lang w:val="es-CO"/>
              </w:rPr>
              <w:t>Circuito real, observadores cegados y retención</w:t>
            </w:r>
          </w:p>
        </w:tc>
      </w:tr>
      <w:tr w:rsidR="00FA6ADD" w:rsidRPr="004A2C8D" w14:paraId="65F81CAF" w14:textId="77777777">
        <w:trPr>
          <w:cantSplit/>
          <w:jc w:val="center"/>
        </w:trPr>
        <w:tc>
          <w:tcPr>
            <w:tcW w:w="1332" w:type="dxa"/>
            <w:tcMar>
              <w:top w:w="50" w:type="dxa"/>
              <w:left w:w="70" w:type="dxa"/>
              <w:bottom w:w="50" w:type="dxa"/>
              <w:right w:w="70" w:type="dxa"/>
            </w:tcMar>
          </w:tcPr>
          <w:p w14:paraId="16C7875C" w14:textId="77777777" w:rsidR="00FA6ADD" w:rsidRDefault="00000000">
            <w:r>
              <w:rPr>
                <w:rFonts w:eastAsia="Times New Roman" w:cs="Times New Roman"/>
                <w:sz w:val="15"/>
              </w:rPr>
              <w:t xml:space="preserve">Uso </w:t>
            </w:r>
            <w:proofErr w:type="spellStart"/>
            <w:r>
              <w:rPr>
                <w:rFonts w:eastAsia="Times New Roman" w:cs="Times New Roman"/>
                <w:sz w:val="15"/>
              </w:rPr>
              <w:t>operacional</w:t>
            </w:r>
            <w:proofErr w:type="spellEnd"/>
          </w:p>
        </w:tc>
        <w:tc>
          <w:tcPr>
            <w:tcW w:w="1928" w:type="dxa"/>
            <w:tcMar>
              <w:top w:w="50" w:type="dxa"/>
              <w:left w:w="70" w:type="dxa"/>
              <w:bottom w:w="50" w:type="dxa"/>
              <w:right w:w="70" w:type="dxa"/>
            </w:tcMar>
          </w:tcPr>
          <w:p w14:paraId="7FA08246" w14:textId="77777777" w:rsidR="00FA6ADD" w:rsidRPr="004A2C8D" w:rsidRDefault="00000000">
            <w:pPr>
              <w:rPr>
                <w:lang w:val="es-CO"/>
              </w:rPr>
            </w:pPr>
            <w:r w:rsidRPr="004A2C8D">
              <w:rPr>
                <w:rFonts w:eastAsia="Times New Roman" w:cs="Times New Roman"/>
                <w:sz w:val="15"/>
                <w:lang w:val="es-CO"/>
              </w:rPr>
              <w:t>Límites de seguridad y separación investigación/operación</w:t>
            </w:r>
          </w:p>
        </w:tc>
        <w:tc>
          <w:tcPr>
            <w:tcW w:w="1389" w:type="dxa"/>
            <w:tcMar>
              <w:top w:w="50" w:type="dxa"/>
              <w:left w:w="70" w:type="dxa"/>
              <w:bottom w:w="50" w:type="dxa"/>
              <w:right w:w="70" w:type="dxa"/>
            </w:tcMar>
          </w:tcPr>
          <w:p w14:paraId="4BB2BDED" w14:textId="77777777" w:rsidR="00FA6ADD" w:rsidRDefault="00000000">
            <w:r>
              <w:rPr>
                <w:rFonts w:eastAsia="Times New Roman" w:cs="Times New Roman"/>
                <w:sz w:val="15"/>
              </w:rPr>
              <w:t xml:space="preserve">No </w:t>
            </w:r>
            <w:proofErr w:type="spellStart"/>
            <w:r>
              <w:rPr>
                <w:rFonts w:eastAsia="Times New Roman" w:cs="Times New Roman"/>
                <w:sz w:val="15"/>
              </w:rPr>
              <w:t>autorizado</w:t>
            </w:r>
            <w:proofErr w:type="spellEnd"/>
          </w:p>
        </w:tc>
        <w:tc>
          <w:tcPr>
            <w:tcW w:w="2069" w:type="dxa"/>
            <w:tcMar>
              <w:top w:w="50" w:type="dxa"/>
              <w:left w:w="70" w:type="dxa"/>
              <w:bottom w:w="50" w:type="dxa"/>
              <w:right w:w="70" w:type="dxa"/>
            </w:tcMar>
          </w:tcPr>
          <w:p w14:paraId="232D08BD" w14:textId="77777777" w:rsidR="00FA6ADD" w:rsidRDefault="00000000">
            <w:r>
              <w:rPr>
                <w:rFonts w:eastAsia="Times New Roman" w:cs="Times New Roman"/>
                <w:sz w:val="15"/>
              </w:rPr>
              <w:t>Investigación y educación</w:t>
            </w:r>
          </w:p>
        </w:tc>
        <w:tc>
          <w:tcPr>
            <w:tcW w:w="2353" w:type="dxa"/>
            <w:tcMar>
              <w:top w:w="50" w:type="dxa"/>
              <w:left w:w="70" w:type="dxa"/>
              <w:bottom w:w="50" w:type="dxa"/>
              <w:right w:w="70" w:type="dxa"/>
            </w:tcMar>
          </w:tcPr>
          <w:p w14:paraId="11B4F3C2" w14:textId="77777777" w:rsidR="00FA6ADD" w:rsidRPr="004A2C8D" w:rsidRDefault="00000000">
            <w:pPr>
              <w:rPr>
                <w:lang w:val="es-CO"/>
              </w:rPr>
            </w:pPr>
            <w:r w:rsidRPr="004A2C8D">
              <w:rPr>
                <w:rFonts w:eastAsia="Times New Roman" w:cs="Times New Roman"/>
                <w:sz w:val="15"/>
                <w:lang w:val="es-CO"/>
              </w:rPr>
              <w:t>Normas, sesgo, validez predictiva y gobernanza institucional</w:t>
            </w:r>
          </w:p>
        </w:tc>
      </w:tr>
    </w:tbl>
    <w:p w14:paraId="7A716327" w14:textId="77777777" w:rsidR="00FA6ADD" w:rsidRPr="004A2C8D" w:rsidRDefault="00000000">
      <w:pPr>
        <w:pStyle w:val="Heading2"/>
        <w:spacing w:before="80" w:after="40"/>
        <w:rPr>
          <w:lang w:val="es-CO"/>
        </w:rPr>
      </w:pPr>
      <w:r w:rsidRPr="004A2C8D">
        <w:rPr>
          <w:rFonts w:ascii="Times New Roman" w:eastAsia="Times New Roman" w:hAnsi="Times New Roman" w:cs="Times New Roman"/>
          <w:sz w:val="20"/>
          <w:lang w:val="es-CO"/>
        </w:rPr>
        <w:t>3.6 Producto experimental longitudinal habilitado</w:t>
      </w:r>
    </w:p>
    <w:p w14:paraId="6AF5B97D" w14:textId="77777777" w:rsidR="00FA6ADD" w:rsidRPr="004A2C8D" w:rsidRDefault="00000000">
      <w:pPr>
        <w:spacing w:after="40"/>
        <w:ind w:firstLine="283"/>
        <w:jc w:val="both"/>
        <w:rPr>
          <w:lang w:val="es-CO"/>
        </w:rPr>
      </w:pPr>
      <w:r w:rsidRPr="004A2C8D">
        <w:rPr>
          <w:rFonts w:eastAsia="Times New Roman" w:cs="Times New Roman"/>
          <w:lang w:val="es-CO"/>
        </w:rPr>
        <w:t>Como resultado de diseño, la plataforma permite formular estudios intraindividuales en los que el mismo operador realiza sesiones MATB y FPV en visitas repetidas. Los desenlaces pueden analizarse mediante modelos mixtos con intercepto por participante, ajuste por orden, experiencia y contexto de sueño; curvas de aprendizaje por visita; costo de doble tarea; y asociaciones repetidas entre desempeño, carga y fisiología. El protocolo de referencia T0–DM8–DM15 fue clasificado como factibilidad exploratoria con n=12 y no como ensayo de eficacia [46]. La Tabla 4 organiza la ruta posterior desde factibilidad hasta transferencia operacional.</w:t>
      </w:r>
    </w:p>
    <w:p w14:paraId="6FD9E705" w14:textId="77777777" w:rsidR="00FA6ADD" w:rsidRPr="004A2C8D" w:rsidRDefault="00000000">
      <w:pPr>
        <w:keepNext/>
        <w:keepLines/>
        <w:spacing w:before="80" w:after="40"/>
        <w:rPr>
          <w:lang w:val="es-CO"/>
        </w:rPr>
      </w:pPr>
      <w:r w:rsidRPr="004A2C8D">
        <w:rPr>
          <w:rFonts w:eastAsia="Times New Roman" w:cs="Times New Roman"/>
          <w:b/>
          <w:sz w:val="16"/>
          <w:lang w:val="es-CO"/>
        </w:rPr>
        <w:t>Tabla 4. Ruta recomendada desde factibilidad hasta uso operacional</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1134"/>
        <w:gridCol w:w="1843"/>
        <w:gridCol w:w="1956"/>
        <w:gridCol w:w="1928"/>
        <w:gridCol w:w="2211"/>
      </w:tblGrid>
      <w:tr w:rsidR="00FA6ADD" w14:paraId="0F8AEA4D" w14:textId="77777777">
        <w:trPr>
          <w:cantSplit/>
          <w:tblHeader/>
          <w:jc w:val="center"/>
        </w:trPr>
        <w:tc>
          <w:tcPr>
            <w:tcW w:w="1134" w:type="dxa"/>
            <w:shd w:val="clear" w:color="auto" w:fill="D0D0D0"/>
            <w:tcMar>
              <w:top w:w="50" w:type="dxa"/>
              <w:left w:w="70" w:type="dxa"/>
              <w:bottom w:w="50" w:type="dxa"/>
              <w:right w:w="70" w:type="dxa"/>
            </w:tcMar>
            <w:vAlign w:val="center"/>
          </w:tcPr>
          <w:p w14:paraId="15809957" w14:textId="77777777" w:rsidR="00FA6ADD" w:rsidRDefault="00000000">
            <w:pPr>
              <w:keepLines/>
              <w:jc w:val="center"/>
            </w:pPr>
            <w:r>
              <w:rPr>
                <w:rFonts w:eastAsia="Times New Roman" w:cs="Times New Roman"/>
                <w:b/>
                <w:sz w:val="15"/>
              </w:rPr>
              <w:t>Etapa</w:t>
            </w:r>
          </w:p>
        </w:tc>
        <w:tc>
          <w:tcPr>
            <w:tcW w:w="1843" w:type="dxa"/>
            <w:shd w:val="clear" w:color="auto" w:fill="D0D0D0"/>
            <w:tcMar>
              <w:top w:w="50" w:type="dxa"/>
              <w:left w:w="70" w:type="dxa"/>
              <w:bottom w:w="50" w:type="dxa"/>
              <w:right w:w="70" w:type="dxa"/>
            </w:tcMar>
            <w:vAlign w:val="center"/>
          </w:tcPr>
          <w:p w14:paraId="01874F17" w14:textId="77777777" w:rsidR="00FA6ADD" w:rsidRDefault="00000000">
            <w:pPr>
              <w:keepLines/>
              <w:jc w:val="center"/>
            </w:pPr>
            <w:r>
              <w:rPr>
                <w:rFonts w:eastAsia="Times New Roman" w:cs="Times New Roman"/>
                <w:b/>
                <w:sz w:val="15"/>
              </w:rPr>
              <w:t>Pregunta principal</w:t>
            </w:r>
          </w:p>
        </w:tc>
        <w:tc>
          <w:tcPr>
            <w:tcW w:w="1956" w:type="dxa"/>
            <w:shd w:val="clear" w:color="auto" w:fill="D0D0D0"/>
            <w:tcMar>
              <w:top w:w="50" w:type="dxa"/>
              <w:left w:w="70" w:type="dxa"/>
              <w:bottom w:w="50" w:type="dxa"/>
              <w:right w:w="70" w:type="dxa"/>
            </w:tcMar>
            <w:vAlign w:val="center"/>
          </w:tcPr>
          <w:p w14:paraId="3EF1C679" w14:textId="77777777" w:rsidR="00FA6ADD" w:rsidRDefault="00000000">
            <w:pPr>
              <w:keepLines/>
              <w:jc w:val="center"/>
            </w:pPr>
            <w:r>
              <w:rPr>
                <w:rFonts w:eastAsia="Times New Roman" w:cs="Times New Roman"/>
                <w:b/>
                <w:sz w:val="15"/>
              </w:rPr>
              <w:t>Diseño recomendado</w:t>
            </w:r>
          </w:p>
        </w:tc>
        <w:tc>
          <w:tcPr>
            <w:tcW w:w="1928" w:type="dxa"/>
            <w:shd w:val="clear" w:color="auto" w:fill="D0D0D0"/>
            <w:tcMar>
              <w:top w:w="50" w:type="dxa"/>
              <w:left w:w="70" w:type="dxa"/>
              <w:bottom w:w="50" w:type="dxa"/>
              <w:right w:w="70" w:type="dxa"/>
            </w:tcMar>
            <w:vAlign w:val="center"/>
          </w:tcPr>
          <w:p w14:paraId="5C57F4BC" w14:textId="77777777" w:rsidR="00FA6ADD" w:rsidRDefault="00000000">
            <w:pPr>
              <w:keepLines/>
              <w:jc w:val="center"/>
            </w:pPr>
            <w:r>
              <w:rPr>
                <w:rFonts w:eastAsia="Times New Roman" w:cs="Times New Roman"/>
                <w:b/>
                <w:sz w:val="15"/>
              </w:rPr>
              <w:t>Desenlaces</w:t>
            </w:r>
          </w:p>
        </w:tc>
        <w:tc>
          <w:tcPr>
            <w:tcW w:w="2211" w:type="dxa"/>
            <w:shd w:val="clear" w:color="auto" w:fill="D0D0D0"/>
            <w:tcMar>
              <w:top w:w="50" w:type="dxa"/>
              <w:left w:w="70" w:type="dxa"/>
              <w:bottom w:w="50" w:type="dxa"/>
              <w:right w:w="70" w:type="dxa"/>
            </w:tcMar>
            <w:vAlign w:val="center"/>
          </w:tcPr>
          <w:p w14:paraId="3554C15D" w14:textId="77777777" w:rsidR="00FA6ADD" w:rsidRDefault="00000000">
            <w:pPr>
              <w:keepLines/>
              <w:jc w:val="center"/>
            </w:pPr>
            <w:r>
              <w:rPr>
                <w:rFonts w:eastAsia="Times New Roman" w:cs="Times New Roman"/>
                <w:b/>
                <w:sz w:val="15"/>
              </w:rPr>
              <w:t>Criterio de avance</w:t>
            </w:r>
          </w:p>
        </w:tc>
      </w:tr>
      <w:tr w:rsidR="00FA6ADD" w:rsidRPr="004A2C8D" w14:paraId="6BDE5570" w14:textId="77777777">
        <w:trPr>
          <w:cantSplit/>
          <w:jc w:val="center"/>
        </w:trPr>
        <w:tc>
          <w:tcPr>
            <w:tcW w:w="1134" w:type="dxa"/>
            <w:tcMar>
              <w:top w:w="50" w:type="dxa"/>
              <w:left w:w="70" w:type="dxa"/>
              <w:bottom w:w="50" w:type="dxa"/>
              <w:right w:w="70" w:type="dxa"/>
            </w:tcMar>
          </w:tcPr>
          <w:p w14:paraId="5F4B3375" w14:textId="77777777" w:rsidR="00FA6ADD" w:rsidRDefault="00000000">
            <w:r>
              <w:rPr>
                <w:rFonts w:eastAsia="Times New Roman" w:cs="Times New Roman"/>
                <w:sz w:val="15"/>
              </w:rPr>
              <w:t>1. Factibilidad</w:t>
            </w:r>
          </w:p>
        </w:tc>
        <w:tc>
          <w:tcPr>
            <w:tcW w:w="1843" w:type="dxa"/>
            <w:tcMar>
              <w:top w:w="50" w:type="dxa"/>
              <w:left w:w="70" w:type="dxa"/>
              <w:bottom w:w="50" w:type="dxa"/>
              <w:right w:w="70" w:type="dxa"/>
            </w:tcMar>
          </w:tcPr>
          <w:p w14:paraId="63020524" w14:textId="77777777" w:rsidR="00FA6ADD" w:rsidRPr="004A2C8D" w:rsidRDefault="00000000">
            <w:pPr>
              <w:rPr>
                <w:lang w:val="es-CO"/>
              </w:rPr>
            </w:pPr>
            <w:r w:rsidRPr="004A2C8D">
              <w:rPr>
                <w:rFonts w:eastAsia="Times New Roman" w:cs="Times New Roman"/>
                <w:sz w:val="15"/>
                <w:lang w:val="es-CO"/>
              </w:rPr>
              <w:t>¿La sesión es tolerable, comprensible y técnicamente completa?</w:t>
            </w:r>
          </w:p>
        </w:tc>
        <w:tc>
          <w:tcPr>
            <w:tcW w:w="1956" w:type="dxa"/>
            <w:tcMar>
              <w:top w:w="50" w:type="dxa"/>
              <w:left w:w="70" w:type="dxa"/>
              <w:bottom w:w="50" w:type="dxa"/>
              <w:right w:w="70" w:type="dxa"/>
            </w:tcMar>
          </w:tcPr>
          <w:p w14:paraId="5F8C16A9" w14:textId="77777777" w:rsidR="00FA6ADD" w:rsidRPr="004A2C8D" w:rsidRDefault="00000000">
            <w:pPr>
              <w:rPr>
                <w:lang w:val="es-CO"/>
              </w:rPr>
            </w:pPr>
            <w:r w:rsidRPr="004A2C8D">
              <w:rPr>
                <w:rFonts w:eastAsia="Times New Roman" w:cs="Times New Roman"/>
                <w:sz w:val="15"/>
                <w:lang w:val="es-CO"/>
              </w:rPr>
              <w:t>Cohorte exploratoria; tres visitas; informe de pérdidas y desviaciones</w:t>
            </w:r>
          </w:p>
        </w:tc>
        <w:tc>
          <w:tcPr>
            <w:tcW w:w="1928" w:type="dxa"/>
            <w:tcMar>
              <w:top w:w="50" w:type="dxa"/>
              <w:left w:w="70" w:type="dxa"/>
              <w:bottom w:w="50" w:type="dxa"/>
              <w:right w:w="70" w:type="dxa"/>
            </w:tcMar>
          </w:tcPr>
          <w:p w14:paraId="1C4E3068" w14:textId="77777777" w:rsidR="00FA6ADD" w:rsidRPr="004A2C8D" w:rsidRDefault="00000000">
            <w:pPr>
              <w:rPr>
                <w:lang w:val="es-CO"/>
              </w:rPr>
            </w:pPr>
            <w:r w:rsidRPr="004A2C8D">
              <w:rPr>
                <w:rFonts w:eastAsia="Times New Roman" w:cs="Times New Roman"/>
                <w:sz w:val="15"/>
                <w:lang w:val="es-CO"/>
              </w:rPr>
              <w:t xml:space="preserve">Completitud, aceptabilidad, </w:t>
            </w:r>
            <w:proofErr w:type="spellStart"/>
            <w:r w:rsidRPr="004A2C8D">
              <w:rPr>
                <w:rFonts w:eastAsia="Times New Roman" w:cs="Times New Roman"/>
                <w:sz w:val="15"/>
                <w:lang w:val="es-CO"/>
              </w:rPr>
              <w:t>cibermareo</w:t>
            </w:r>
            <w:proofErr w:type="spellEnd"/>
            <w:r w:rsidRPr="004A2C8D">
              <w:rPr>
                <w:rFonts w:eastAsia="Times New Roman" w:cs="Times New Roman"/>
                <w:sz w:val="15"/>
                <w:lang w:val="es-CO"/>
              </w:rPr>
              <w:t>, dispersión y calidad de señal</w:t>
            </w:r>
          </w:p>
        </w:tc>
        <w:tc>
          <w:tcPr>
            <w:tcW w:w="2211" w:type="dxa"/>
            <w:tcMar>
              <w:top w:w="50" w:type="dxa"/>
              <w:left w:w="70" w:type="dxa"/>
              <w:bottom w:w="50" w:type="dxa"/>
              <w:right w:w="70" w:type="dxa"/>
            </w:tcMar>
          </w:tcPr>
          <w:p w14:paraId="7EA3C58B" w14:textId="77777777" w:rsidR="00FA6ADD" w:rsidRPr="004A2C8D" w:rsidRDefault="00000000">
            <w:pPr>
              <w:rPr>
                <w:lang w:val="es-CO"/>
              </w:rPr>
            </w:pPr>
            <w:r w:rsidRPr="004A2C8D">
              <w:rPr>
                <w:rFonts w:eastAsia="Times New Roman" w:cs="Times New Roman"/>
                <w:sz w:val="15"/>
                <w:lang w:val="es-CO"/>
              </w:rPr>
              <w:t>Sin fallos críticos; desenlaces sin techo/piso extremo; protocolo ejecutable</w:t>
            </w:r>
          </w:p>
        </w:tc>
      </w:tr>
      <w:tr w:rsidR="00FA6ADD" w:rsidRPr="004A2C8D" w14:paraId="2404C243" w14:textId="77777777">
        <w:trPr>
          <w:cantSplit/>
          <w:jc w:val="center"/>
        </w:trPr>
        <w:tc>
          <w:tcPr>
            <w:tcW w:w="1134" w:type="dxa"/>
            <w:shd w:val="clear" w:color="auto" w:fill="F2F2F2"/>
            <w:tcMar>
              <w:top w:w="50" w:type="dxa"/>
              <w:left w:w="70" w:type="dxa"/>
              <w:bottom w:w="50" w:type="dxa"/>
              <w:right w:w="70" w:type="dxa"/>
            </w:tcMar>
          </w:tcPr>
          <w:p w14:paraId="4B8091EA" w14:textId="77777777" w:rsidR="00FA6ADD" w:rsidRDefault="00000000">
            <w:r>
              <w:rPr>
                <w:rFonts w:eastAsia="Times New Roman" w:cs="Times New Roman"/>
                <w:sz w:val="15"/>
              </w:rPr>
              <w:t>2. Calibración</w:t>
            </w:r>
          </w:p>
        </w:tc>
        <w:tc>
          <w:tcPr>
            <w:tcW w:w="1843" w:type="dxa"/>
            <w:shd w:val="clear" w:color="auto" w:fill="F2F2F2"/>
            <w:tcMar>
              <w:top w:w="50" w:type="dxa"/>
              <w:left w:w="70" w:type="dxa"/>
              <w:bottom w:w="50" w:type="dxa"/>
              <w:right w:w="70" w:type="dxa"/>
            </w:tcMar>
          </w:tcPr>
          <w:p w14:paraId="1E6A8AF6" w14:textId="77777777" w:rsidR="00FA6ADD" w:rsidRPr="004A2C8D" w:rsidRDefault="00000000">
            <w:pPr>
              <w:rPr>
                <w:lang w:val="es-CO"/>
              </w:rPr>
            </w:pPr>
            <w:r w:rsidRPr="004A2C8D">
              <w:rPr>
                <w:rFonts w:eastAsia="Times New Roman" w:cs="Times New Roman"/>
                <w:sz w:val="15"/>
                <w:lang w:val="es-CO"/>
              </w:rPr>
              <w:t>¿Los niveles de demanda producen una respuesta ordenada?</w:t>
            </w:r>
          </w:p>
        </w:tc>
        <w:tc>
          <w:tcPr>
            <w:tcW w:w="1956" w:type="dxa"/>
            <w:shd w:val="clear" w:color="auto" w:fill="F2F2F2"/>
            <w:tcMar>
              <w:top w:w="50" w:type="dxa"/>
              <w:left w:w="70" w:type="dxa"/>
              <w:bottom w:w="50" w:type="dxa"/>
              <w:right w:w="70" w:type="dxa"/>
            </w:tcMar>
          </w:tcPr>
          <w:p w14:paraId="7861C7BF" w14:textId="77777777" w:rsidR="00FA6ADD" w:rsidRPr="004A2C8D" w:rsidRDefault="00000000">
            <w:pPr>
              <w:rPr>
                <w:lang w:val="es-CO"/>
              </w:rPr>
            </w:pPr>
            <w:r w:rsidRPr="004A2C8D">
              <w:rPr>
                <w:rFonts w:eastAsia="Times New Roman" w:cs="Times New Roman"/>
                <w:sz w:val="15"/>
                <w:lang w:val="es-CO"/>
              </w:rPr>
              <w:t>Medidas repetidas y orden contrabalanceado</w:t>
            </w:r>
          </w:p>
        </w:tc>
        <w:tc>
          <w:tcPr>
            <w:tcW w:w="1928" w:type="dxa"/>
            <w:shd w:val="clear" w:color="auto" w:fill="F2F2F2"/>
            <w:tcMar>
              <w:top w:w="50" w:type="dxa"/>
              <w:left w:w="70" w:type="dxa"/>
              <w:bottom w:w="50" w:type="dxa"/>
              <w:right w:w="70" w:type="dxa"/>
            </w:tcMar>
          </w:tcPr>
          <w:p w14:paraId="5A38D60F" w14:textId="77777777" w:rsidR="00FA6ADD" w:rsidRPr="004A2C8D" w:rsidRDefault="00000000">
            <w:pPr>
              <w:rPr>
                <w:lang w:val="es-CO"/>
              </w:rPr>
            </w:pPr>
            <w:r w:rsidRPr="004A2C8D">
              <w:rPr>
                <w:rFonts w:eastAsia="Times New Roman" w:cs="Times New Roman"/>
                <w:sz w:val="15"/>
                <w:lang w:val="es-CO"/>
              </w:rPr>
              <w:t>NASA-TLX/ISA, subtareas MATB, errores FPV y fisiología</w:t>
            </w:r>
          </w:p>
        </w:tc>
        <w:tc>
          <w:tcPr>
            <w:tcW w:w="2211" w:type="dxa"/>
            <w:shd w:val="clear" w:color="auto" w:fill="F2F2F2"/>
            <w:tcMar>
              <w:top w:w="50" w:type="dxa"/>
              <w:left w:w="70" w:type="dxa"/>
              <w:bottom w:w="50" w:type="dxa"/>
              <w:right w:w="70" w:type="dxa"/>
            </w:tcMar>
          </w:tcPr>
          <w:p w14:paraId="5178D809" w14:textId="77777777" w:rsidR="00FA6ADD" w:rsidRPr="004A2C8D" w:rsidRDefault="00000000">
            <w:pPr>
              <w:rPr>
                <w:lang w:val="es-CO"/>
              </w:rPr>
            </w:pPr>
            <w:r w:rsidRPr="004A2C8D">
              <w:rPr>
                <w:rFonts w:eastAsia="Times New Roman" w:cs="Times New Roman"/>
                <w:sz w:val="15"/>
                <w:lang w:val="es-CO"/>
              </w:rPr>
              <w:t>Patrón dosis–respuesta preespecificado y reproducible</w:t>
            </w:r>
          </w:p>
        </w:tc>
      </w:tr>
      <w:tr w:rsidR="00FA6ADD" w:rsidRPr="004A2C8D" w14:paraId="40E684B6" w14:textId="77777777">
        <w:trPr>
          <w:cantSplit/>
          <w:jc w:val="center"/>
        </w:trPr>
        <w:tc>
          <w:tcPr>
            <w:tcW w:w="1134" w:type="dxa"/>
            <w:tcMar>
              <w:top w:w="50" w:type="dxa"/>
              <w:left w:w="70" w:type="dxa"/>
              <w:bottom w:w="50" w:type="dxa"/>
              <w:right w:w="70" w:type="dxa"/>
            </w:tcMar>
          </w:tcPr>
          <w:p w14:paraId="659D5AE1" w14:textId="77777777" w:rsidR="00FA6ADD" w:rsidRDefault="00000000">
            <w:r>
              <w:rPr>
                <w:rFonts w:eastAsia="Times New Roman" w:cs="Times New Roman"/>
                <w:sz w:val="15"/>
              </w:rPr>
              <w:t>3. Confiabilidad</w:t>
            </w:r>
          </w:p>
        </w:tc>
        <w:tc>
          <w:tcPr>
            <w:tcW w:w="1843" w:type="dxa"/>
            <w:tcMar>
              <w:top w:w="50" w:type="dxa"/>
              <w:left w:w="70" w:type="dxa"/>
              <w:bottom w:w="50" w:type="dxa"/>
              <w:right w:w="70" w:type="dxa"/>
            </w:tcMar>
          </w:tcPr>
          <w:p w14:paraId="60B46212" w14:textId="77777777" w:rsidR="00FA6ADD" w:rsidRPr="004A2C8D" w:rsidRDefault="00000000">
            <w:pPr>
              <w:rPr>
                <w:lang w:val="es-CO"/>
              </w:rPr>
            </w:pPr>
            <w:r w:rsidRPr="004A2C8D">
              <w:rPr>
                <w:rFonts w:eastAsia="Times New Roman" w:cs="Times New Roman"/>
                <w:sz w:val="15"/>
                <w:lang w:val="es-CO"/>
              </w:rPr>
              <w:t>¿La medida separa estabilidad de aprendizaje y error?</w:t>
            </w:r>
          </w:p>
        </w:tc>
        <w:tc>
          <w:tcPr>
            <w:tcW w:w="1956" w:type="dxa"/>
            <w:tcMar>
              <w:top w:w="50" w:type="dxa"/>
              <w:left w:w="70" w:type="dxa"/>
              <w:bottom w:w="50" w:type="dxa"/>
              <w:right w:w="70" w:type="dxa"/>
            </w:tcMar>
          </w:tcPr>
          <w:p w14:paraId="032341CE" w14:textId="77777777" w:rsidR="00FA6ADD" w:rsidRPr="004A2C8D" w:rsidRDefault="00000000">
            <w:pPr>
              <w:rPr>
                <w:lang w:val="es-CO"/>
              </w:rPr>
            </w:pPr>
            <w:r w:rsidRPr="004A2C8D">
              <w:rPr>
                <w:rFonts w:eastAsia="Times New Roman" w:cs="Times New Roman"/>
                <w:sz w:val="15"/>
                <w:lang w:val="es-CO"/>
              </w:rPr>
              <w:t>Sesiones repetidas con equipo congelado</w:t>
            </w:r>
          </w:p>
        </w:tc>
        <w:tc>
          <w:tcPr>
            <w:tcW w:w="1928" w:type="dxa"/>
            <w:tcMar>
              <w:top w:w="50" w:type="dxa"/>
              <w:left w:w="70" w:type="dxa"/>
              <w:bottom w:w="50" w:type="dxa"/>
              <w:right w:w="70" w:type="dxa"/>
            </w:tcMar>
          </w:tcPr>
          <w:p w14:paraId="7AA03993" w14:textId="77777777" w:rsidR="00FA6ADD" w:rsidRPr="004A2C8D" w:rsidRDefault="00000000">
            <w:pPr>
              <w:rPr>
                <w:lang w:val="es-CO"/>
              </w:rPr>
            </w:pPr>
            <w:r w:rsidRPr="004A2C8D">
              <w:rPr>
                <w:rFonts w:eastAsia="Times New Roman" w:cs="Times New Roman"/>
                <w:sz w:val="15"/>
                <w:lang w:val="es-CO"/>
              </w:rPr>
              <w:t>ICC, SEM, MDC, curvas de aprendizaje y consistencia</w:t>
            </w:r>
          </w:p>
        </w:tc>
        <w:tc>
          <w:tcPr>
            <w:tcW w:w="2211" w:type="dxa"/>
            <w:tcMar>
              <w:top w:w="50" w:type="dxa"/>
              <w:left w:w="70" w:type="dxa"/>
              <w:bottom w:w="50" w:type="dxa"/>
              <w:right w:w="70" w:type="dxa"/>
            </w:tcMar>
          </w:tcPr>
          <w:p w14:paraId="6FCDB004" w14:textId="77777777" w:rsidR="00FA6ADD" w:rsidRPr="004A2C8D" w:rsidRDefault="00000000">
            <w:pPr>
              <w:rPr>
                <w:lang w:val="es-CO"/>
              </w:rPr>
            </w:pPr>
            <w:r w:rsidRPr="004A2C8D">
              <w:rPr>
                <w:rFonts w:eastAsia="Times New Roman" w:cs="Times New Roman"/>
                <w:sz w:val="15"/>
                <w:lang w:val="es-CO"/>
              </w:rPr>
              <w:t>Precisión suficiente para el uso propuesto; fuentes de error cuantificadas</w:t>
            </w:r>
          </w:p>
        </w:tc>
      </w:tr>
      <w:tr w:rsidR="00FA6ADD" w:rsidRPr="004A2C8D" w14:paraId="4383B270" w14:textId="77777777">
        <w:trPr>
          <w:cantSplit/>
          <w:jc w:val="center"/>
        </w:trPr>
        <w:tc>
          <w:tcPr>
            <w:tcW w:w="1134" w:type="dxa"/>
            <w:shd w:val="clear" w:color="auto" w:fill="F2F2F2"/>
            <w:tcMar>
              <w:top w:w="50" w:type="dxa"/>
              <w:left w:w="70" w:type="dxa"/>
              <w:bottom w:w="50" w:type="dxa"/>
              <w:right w:w="70" w:type="dxa"/>
            </w:tcMar>
          </w:tcPr>
          <w:p w14:paraId="667E0C50" w14:textId="77777777" w:rsidR="00FA6ADD" w:rsidRDefault="00000000">
            <w:r>
              <w:rPr>
                <w:rFonts w:eastAsia="Times New Roman" w:cs="Times New Roman"/>
                <w:sz w:val="15"/>
              </w:rPr>
              <w:t>4. Validez</w:t>
            </w:r>
          </w:p>
        </w:tc>
        <w:tc>
          <w:tcPr>
            <w:tcW w:w="1843" w:type="dxa"/>
            <w:shd w:val="clear" w:color="auto" w:fill="F2F2F2"/>
            <w:tcMar>
              <w:top w:w="50" w:type="dxa"/>
              <w:left w:w="70" w:type="dxa"/>
              <w:bottom w:w="50" w:type="dxa"/>
              <w:right w:w="70" w:type="dxa"/>
            </w:tcMar>
          </w:tcPr>
          <w:p w14:paraId="0CAB3CDF" w14:textId="77777777" w:rsidR="00FA6ADD" w:rsidRPr="004A2C8D" w:rsidRDefault="00000000">
            <w:pPr>
              <w:rPr>
                <w:lang w:val="es-CO"/>
              </w:rPr>
            </w:pPr>
            <w:r w:rsidRPr="004A2C8D">
              <w:rPr>
                <w:rFonts w:eastAsia="Times New Roman" w:cs="Times New Roman"/>
                <w:sz w:val="15"/>
                <w:lang w:val="es-CO"/>
              </w:rPr>
              <w:t>¿Los dominios corresponden a constructos y criterios externos?</w:t>
            </w:r>
          </w:p>
        </w:tc>
        <w:tc>
          <w:tcPr>
            <w:tcW w:w="1956" w:type="dxa"/>
            <w:shd w:val="clear" w:color="auto" w:fill="F2F2F2"/>
            <w:tcMar>
              <w:top w:w="50" w:type="dxa"/>
              <w:left w:w="70" w:type="dxa"/>
              <w:bottom w:w="50" w:type="dxa"/>
              <w:right w:w="70" w:type="dxa"/>
            </w:tcMar>
          </w:tcPr>
          <w:p w14:paraId="204AE864" w14:textId="77777777" w:rsidR="00FA6ADD" w:rsidRPr="004A2C8D" w:rsidRDefault="00000000">
            <w:pPr>
              <w:rPr>
                <w:lang w:val="es-CO"/>
              </w:rPr>
            </w:pPr>
            <w:r w:rsidRPr="004A2C8D">
              <w:rPr>
                <w:rFonts w:eastAsia="Times New Roman" w:cs="Times New Roman"/>
                <w:sz w:val="15"/>
                <w:lang w:val="es-CO"/>
              </w:rPr>
              <w:t>Convergente, discriminante y criterio concurrente</w:t>
            </w:r>
          </w:p>
        </w:tc>
        <w:tc>
          <w:tcPr>
            <w:tcW w:w="1928" w:type="dxa"/>
            <w:shd w:val="clear" w:color="auto" w:fill="F2F2F2"/>
            <w:tcMar>
              <w:top w:w="50" w:type="dxa"/>
              <w:left w:w="70" w:type="dxa"/>
              <w:bottom w:w="50" w:type="dxa"/>
              <w:right w:w="70" w:type="dxa"/>
            </w:tcMar>
          </w:tcPr>
          <w:p w14:paraId="74C212B3" w14:textId="77777777" w:rsidR="00FA6ADD" w:rsidRPr="004A2C8D" w:rsidRDefault="00000000">
            <w:pPr>
              <w:rPr>
                <w:lang w:val="es-CO"/>
              </w:rPr>
            </w:pPr>
            <w:r w:rsidRPr="004A2C8D">
              <w:rPr>
                <w:rFonts w:eastAsia="Times New Roman" w:cs="Times New Roman"/>
                <w:sz w:val="15"/>
                <w:lang w:val="es-CO"/>
              </w:rPr>
              <w:t>Pruebas de atención/control, instructores, circuito externo y SA</w:t>
            </w:r>
          </w:p>
        </w:tc>
        <w:tc>
          <w:tcPr>
            <w:tcW w:w="2211" w:type="dxa"/>
            <w:shd w:val="clear" w:color="auto" w:fill="F2F2F2"/>
            <w:tcMar>
              <w:top w:w="50" w:type="dxa"/>
              <w:left w:w="70" w:type="dxa"/>
              <w:bottom w:w="50" w:type="dxa"/>
              <w:right w:w="70" w:type="dxa"/>
            </w:tcMar>
          </w:tcPr>
          <w:p w14:paraId="54545D14" w14:textId="77777777" w:rsidR="00FA6ADD" w:rsidRPr="004A2C8D" w:rsidRDefault="00000000">
            <w:pPr>
              <w:rPr>
                <w:lang w:val="es-CO"/>
              </w:rPr>
            </w:pPr>
            <w:r w:rsidRPr="004A2C8D">
              <w:rPr>
                <w:rFonts w:eastAsia="Times New Roman" w:cs="Times New Roman"/>
                <w:sz w:val="15"/>
                <w:lang w:val="es-CO"/>
              </w:rPr>
              <w:t xml:space="preserve">Efectos con intervalos compatibles con hipótesis </w:t>
            </w:r>
            <w:proofErr w:type="spellStart"/>
            <w:r w:rsidRPr="004A2C8D">
              <w:rPr>
                <w:rFonts w:eastAsia="Times New Roman" w:cs="Times New Roman"/>
                <w:sz w:val="15"/>
                <w:lang w:val="es-CO"/>
              </w:rPr>
              <w:t>prerregistradas</w:t>
            </w:r>
            <w:proofErr w:type="spellEnd"/>
          </w:p>
        </w:tc>
      </w:tr>
      <w:tr w:rsidR="00FA6ADD" w:rsidRPr="004A2C8D" w14:paraId="43166E8E" w14:textId="77777777">
        <w:trPr>
          <w:cantSplit/>
          <w:jc w:val="center"/>
        </w:trPr>
        <w:tc>
          <w:tcPr>
            <w:tcW w:w="1134" w:type="dxa"/>
            <w:tcMar>
              <w:top w:w="50" w:type="dxa"/>
              <w:left w:w="70" w:type="dxa"/>
              <w:bottom w:w="50" w:type="dxa"/>
              <w:right w:w="70" w:type="dxa"/>
            </w:tcMar>
          </w:tcPr>
          <w:p w14:paraId="2E615B4A" w14:textId="77777777" w:rsidR="00FA6ADD" w:rsidRDefault="00000000">
            <w:r>
              <w:rPr>
                <w:rFonts w:eastAsia="Times New Roman" w:cs="Times New Roman"/>
                <w:sz w:val="15"/>
              </w:rPr>
              <w:lastRenderedPageBreak/>
              <w:t>5. Transferencia</w:t>
            </w:r>
          </w:p>
        </w:tc>
        <w:tc>
          <w:tcPr>
            <w:tcW w:w="1843" w:type="dxa"/>
            <w:tcMar>
              <w:top w:w="50" w:type="dxa"/>
              <w:left w:w="70" w:type="dxa"/>
              <w:bottom w:w="50" w:type="dxa"/>
              <w:right w:w="70" w:type="dxa"/>
            </w:tcMar>
          </w:tcPr>
          <w:p w14:paraId="67F7EF3C" w14:textId="77777777" w:rsidR="00FA6ADD" w:rsidRPr="004A2C8D" w:rsidRDefault="00000000">
            <w:pPr>
              <w:rPr>
                <w:lang w:val="es-CO"/>
              </w:rPr>
            </w:pPr>
            <w:r w:rsidRPr="004A2C8D">
              <w:rPr>
                <w:rFonts w:eastAsia="Times New Roman" w:cs="Times New Roman"/>
                <w:sz w:val="15"/>
                <w:lang w:val="es-CO"/>
              </w:rPr>
              <w:t>¿El entrenamiento o desempeño simulado se refleja en vuelo real?</w:t>
            </w:r>
          </w:p>
        </w:tc>
        <w:tc>
          <w:tcPr>
            <w:tcW w:w="1956" w:type="dxa"/>
            <w:tcMar>
              <w:top w:w="50" w:type="dxa"/>
              <w:left w:w="70" w:type="dxa"/>
              <w:bottom w:w="50" w:type="dxa"/>
              <w:right w:w="70" w:type="dxa"/>
            </w:tcMar>
          </w:tcPr>
          <w:p w14:paraId="2DA1CA55" w14:textId="77777777" w:rsidR="00FA6ADD" w:rsidRPr="004A2C8D" w:rsidRDefault="00000000">
            <w:pPr>
              <w:rPr>
                <w:lang w:val="es-CO"/>
              </w:rPr>
            </w:pPr>
            <w:r w:rsidRPr="004A2C8D">
              <w:rPr>
                <w:rFonts w:eastAsia="Times New Roman" w:cs="Times New Roman"/>
                <w:sz w:val="15"/>
                <w:lang w:val="es-CO"/>
              </w:rPr>
              <w:t>Ensayo o cohorte prospectiva; evaluación ciega; retención</w:t>
            </w:r>
          </w:p>
        </w:tc>
        <w:tc>
          <w:tcPr>
            <w:tcW w:w="1928" w:type="dxa"/>
            <w:tcMar>
              <w:top w:w="50" w:type="dxa"/>
              <w:left w:w="70" w:type="dxa"/>
              <w:bottom w:w="50" w:type="dxa"/>
              <w:right w:w="70" w:type="dxa"/>
            </w:tcMar>
          </w:tcPr>
          <w:p w14:paraId="32DBEA2F" w14:textId="77777777" w:rsidR="00FA6ADD" w:rsidRPr="004A2C8D" w:rsidRDefault="00000000">
            <w:pPr>
              <w:rPr>
                <w:lang w:val="es-CO"/>
              </w:rPr>
            </w:pPr>
            <w:r w:rsidRPr="004A2C8D">
              <w:rPr>
                <w:rFonts w:eastAsia="Times New Roman" w:cs="Times New Roman"/>
                <w:sz w:val="15"/>
                <w:lang w:val="es-CO"/>
              </w:rPr>
              <w:t>Seguridad, precisión, tiempo, errores y carga en circuito real</w:t>
            </w:r>
          </w:p>
        </w:tc>
        <w:tc>
          <w:tcPr>
            <w:tcW w:w="2211" w:type="dxa"/>
            <w:tcMar>
              <w:top w:w="50" w:type="dxa"/>
              <w:left w:w="70" w:type="dxa"/>
              <w:bottom w:w="50" w:type="dxa"/>
              <w:right w:w="70" w:type="dxa"/>
            </w:tcMar>
          </w:tcPr>
          <w:p w14:paraId="39B3D59B" w14:textId="77777777" w:rsidR="00FA6ADD" w:rsidRPr="004A2C8D" w:rsidRDefault="00000000">
            <w:pPr>
              <w:rPr>
                <w:lang w:val="es-CO"/>
              </w:rPr>
            </w:pPr>
            <w:r w:rsidRPr="004A2C8D">
              <w:rPr>
                <w:rFonts w:eastAsia="Times New Roman" w:cs="Times New Roman"/>
                <w:sz w:val="15"/>
                <w:lang w:val="es-CO"/>
              </w:rPr>
              <w:t>Beneficio replicado sin incremento de riesgo</w:t>
            </w:r>
          </w:p>
        </w:tc>
      </w:tr>
      <w:tr w:rsidR="00FA6ADD" w:rsidRPr="004A2C8D" w14:paraId="4DCF4B83" w14:textId="77777777">
        <w:trPr>
          <w:cantSplit/>
          <w:jc w:val="center"/>
        </w:trPr>
        <w:tc>
          <w:tcPr>
            <w:tcW w:w="1134" w:type="dxa"/>
            <w:shd w:val="clear" w:color="auto" w:fill="F2F2F2"/>
            <w:tcMar>
              <w:top w:w="50" w:type="dxa"/>
              <w:left w:w="70" w:type="dxa"/>
              <w:bottom w:w="50" w:type="dxa"/>
              <w:right w:w="70" w:type="dxa"/>
            </w:tcMar>
          </w:tcPr>
          <w:p w14:paraId="4E9C0FDB" w14:textId="77777777" w:rsidR="00FA6ADD" w:rsidRDefault="00000000">
            <w:r>
              <w:rPr>
                <w:rFonts w:eastAsia="Times New Roman" w:cs="Times New Roman"/>
                <w:sz w:val="15"/>
              </w:rPr>
              <w:t>6. Operacionalización</w:t>
            </w:r>
          </w:p>
        </w:tc>
        <w:tc>
          <w:tcPr>
            <w:tcW w:w="1843" w:type="dxa"/>
            <w:shd w:val="clear" w:color="auto" w:fill="F2F2F2"/>
            <w:tcMar>
              <w:top w:w="50" w:type="dxa"/>
              <w:left w:w="70" w:type="dxa"/>
              <w:bottom w:w="50" w:type="dxa"/>
              <w:right w:w="70" w:type="dxa"/>
            </w:tcMar>
          </w:tcPr>
          <w:p w14:paraId="54192F55" w14:textId="77777777" w:rsidR="00FA6ADD" w:rsidRPr="004A2C8D" w:rsidRDefault="00000000">
            <w:pPr>
              <w:rPr>
                <w:lang w:val="es-CO"/>
              </w:rPr>
            </w:pPr>
            <w:r w:rsidRPr="004A2C8D">
              <w:rPr>
                <w:rFonts w:eastAsia="Times New Roman" w:cs="Times New Roman"/>
                <w:sz w:val="15"/>
                <w:lang w:val="es-CO"/>
              </w:rPr>
              <w:t>¿La medida puede apoyar decisiones institucionales justas?</w:t>
            </w:r>
          </w:p>
        </w:tc>
        <w:tc>
          <w:tcPr>
            <w:tcW w:w="1956" w:type="dxa"/>
            <w:shd w:val="clear" w:color="auto" w:fill="F2F2F2"/>
            <w:tcMar>
              <w:top w:w="50" w:type="dxa"/>
              <w:left w:w="70" w:type="dxa"/>
              <w:bottom w:w="50" w:type="dxa"/>
              <w:right w:w="70" w:type="dxa"/>
            </w:tcMar>
          </w:tcPr>
          <w:p w14:paraId="6539A37F" w14:textId="77777777" w:rsidR="00FA6ADD" w:rsidRPr="004A2C8D" w:rsidRDefault="00000000">
            <w:pPr>
              <w:rPr>
                <w:lang w:val="es-CO"/>
              </w:rPr>
            </w:pPr>
            <w:r w:rsidRPr="004A2C8D">
              <w:rPr>
                <w:rFonts w:eastAsia="Times New Roman" w:cs="Times New Roman"/>
                <w:sz w:val="15"/>
                <w:lang w:val="es-CO"/>
              </w:rPr>
              <w:t>Validación multicéntrica, sesgo, consecuencias y vigilancia</w:t>
            </w:r>
          </w:p>
        </w:tc>
        <w:tc>
          <w:tcPr>
            <w:tcW w:w="1928" w:type="dxa"/>
            <w:shd w:val="clear" w:color="auto" w:fill="F2F2F2"/>
            <w:tcMar>
              <w:top w:w="50" w:type="dxa"/>
              <w:left w:w="70" w:type="dxa"/>
              <w:bottom w:w="50" w:type="dxa"/>
              <w:right w:w="70" w:type="dxa"/>
            </w:tcMar>
          </w:tcPr>
          <w:p w14:paraId="6F42343F" w14:textId="77777777" w:rsidR="00FA6ADD" w:rsidRPr="004A2C8D" w:rsidRDefault="00000000">
            <w:pPr>
              <w:rPr>
                <w:lang w:val="es-CO"/>
              </w:rPr>
            </w:pPr>
            <w:r w:rsidRPr="004A2C8D">
              <w:rPr>
                <w:rFonts w:eastAsia="Times New Roman" w:cs="Times New Roman"/>
                <w:sz w:val="15"/>
                <w:lang w:val="es-CO"/>
              </w:rPr>
              <w:t>Validez predictiva, equidad, estabilidad y utilidad</w:t>
            </w:r>
          </w:p>
        </w:tc>
        <w:tc>
          <w:tcPr>
            <w:tcW w:w="2211" w:type="dxa"/>
            <w:shd w:val="clear" w:color="auto" w:fill="F2F2F2"/>
            <w:tcMar>
              <w:top w:w="50" w:type="dxa"/>
              <w:left w:w="70" w:type="dxa"/>
              <w:bottom w:w="50" w:type="dxa"/>
              <w:right w:w="70" w:type="dxa"/>
            </w:tcMar>
          </w:tcPr>
          <w:p w14:paraId="59DB516B" w14:textId="77777777" w:rsidR="00FA6ADD" w:rsidRPr="004A2C8D" w:rsidRDefault="00000000">
            <w:pPr>
              <w:rPr>
                <w:lang w:val="es-CO"/>
              </w:rPr>
            </w:pPr>
            <w:r w:rsidRPr="004A2C8D">
              <w:rPr>
                <w:rFonts w:eastAsia="Times New Roman" w:cs="Times New Roman"/>
                <w:sz w:val="15"/>
                <w:lang w:val="es-CO"/>
              </w:rPr>
              <w:t>Aprobación ética/regulatoria y límites de uso explícitos</w:t>
            </w:r>
          </w:p>
        </w:tc>
      </w:tr>
    </w:tbl>
    <w:p w14:paraId="2490D209" w14:textId="77777777" w:rsidR="00FA6ADD" w:rsidRPr="004A2C8D" w:rsidRDefault="00000000">
      <w:pPr>
        <w:pStyle w:val="Heading1"/>
        <w:spacing w:before="120" w:after="40"/>
        <w:rPr>
          <w:lang w:val="es-CO"/>
        </w:rPr>
      </w:pPr>
      <w:r w:rsidRPr="004A2C8D">
        <w:rPr>
          <w:rFonts w:ascii="Times New Roman" w:eastAsia="Times New Roman" w:hAnsi="Times New Roman" w:cs="Times New Roman"/>
          <w:sz w:val="20"/>
          <w:lang w:val="es-CO"/>
        </w:rPr>
        <w:t>4. Discusión</w:t>
      </w:r>
    </w:p>
    <w:p w14:paraId="62D656E5" w14:textId="77777777" w:rsidR="00FA6ADD" w:rsidRPr="004A2C8D" w:rsidRDefault="00000000">
      <w:pPr>
        <w:pStyle w:val="Heading2"/>
        <w:spacing w:before="80" w:after="40"/>
        <w:rPr>
          <w:lang w:val="es-CO"/>
        </w:rPr>
      </w:pPr>
      <w:r w:rsidRPr="004A2C8D">
        <w:rPr>
          <w:rFonts w:ascii="Times New Roman" w:eastAsia="Times New Roman" w:hAnsi="Times New Roman" w:cs="Times New Roman"/>
          <w:sz w:val="20"/>
          <w:lang w:val="es-CO"/>
        </w:rPr>
        <w:t>4.1 Aporte principal a factores humanos</w:t>
      </w:r>
    </w:p>
    <w:p w14:paraId="53D06ECD" w14:textId="28083B61" w:rsidR="00FA6ADD" w:rsidRPr="004A2C8D" w:rsidRDefault="00000000">
      <w:pPr>
        <w:spacing w:after="40"/>
        <w:ind w:firstLine="283"/>
        <w:jc w:val="both"/>
        <w:rPr>
          <w:lang w:val="es-CO"/>
        </w:rPr>
      </w:pPr>
      <w:r w:rsidRPr="004A2C8D">
        <w:rPr>
          <w:rFonts w:eastAsia="Times New Roman" w:cs="Times New Roman"/>
          <w:lang w:val="es-CO"/>
        </w:rPr>
        <w:t>El hallazgo central es que la innovación del repositorio</w:t>
      </w:r>
      <w:r w:rsidR="00EE2074">
        <w:rPr>
          <w:rFonts w:eastAsia="Times New Roman" w:cs="Times New Roman"/>
          <w:lang w:val="es-CO"/>
        </w:rPr>
        <w:t xml:space="preserve"> </w:t>
      </w:r>
      <w:r w:rsidRPr="004A2C8D">
        <w:rPr>
          <w:rFonts w:eastAsia="Times New Roman" w:cs="Times New Roman"/>
          <w:lang w:val="es-CO"/>
        </w:rPr>
        <w:t>consiste</w:t>
      </w:r>
      <w:r w:rsidR="00EE2074">
        <w:rPr>
          <w:rFonts w:eastAsia="Times New Roman" w:cs="Times New Roman"/>
          <w:lang w:val="es-CO"/>
        </w:rPr>
        <w:t xml:space="preserve"> </w:t>
      </w:r>
      <w:r w:rsidRPr="004A2C8D">
        <w:rPr>
          <w:rFonts w:eastAsia="Times New Roman" w:cs="Times New Roman"/>
          <w:lang w:val="es-CO"/>
        </w:rPr>
        <w:t xml:space="preserve">en construir un puente entre control experimental y desempeño FPV. </w:t>
      </w:r>
      <w:proofErr w:type="spellStart"/>
      <w:r w:rsidRPr="004A2C8D">
        <w:rPr>
          <w:rFonts w:eastAsia="Times New Roman" w:cs="Times New Roman"/>
          <w:lang w:val="es-CO"/>
        </w:rPr>
        <w:t>OpenMATB</w:t>
      </w:r>
      <w:proofErr w:type="spellEnd"/>
      <w:r w:rsidRPr="004A2C8D">
        <w:rPr>
          <w:rFonts w:eastAsia="Times New Roman" w:cs="Times New Roman"/>
          <w:lang w:val="es-CO"/>
        </w:rPr>
        <w:t xml:space="preserve"> produce demanda reproducible; </w:t>
      </w:r>
      <w:proofErr w:type="spellStart"/>
      <w:r w:rsidRPr="004A2C8D">
        <w:rPr>
          <w:rFonts w:eastAsia="Times New Roman" w:cs="Times New Roman"/>
          <w:lang w:val="es-CO"/>
        </w:rPr>
        <w:t>Liftoff</w:t>
      </w:r>
      <w:proofErr w:type="spellEnd"/>
      <w:r w:rsidRPr="004A2C8D">
        <w:rPr>
          <w:rFonts w:eastAsia="Times New Roman" w:cs="Times New Roman"/>
          <w:lang w:val="es-CO"/>
        </w:rPr>
        <w:t xml:space="preserve"> captura una habilidad manual continua más próxima a la experiencia del operador; la misión </w:t>
      </w:r>
      <w:proofErr w:type="spellStart"/>
      <w:r w:rsidRPr="004A2C8D">
        <w:rPr>
          <w:rFonts w:eastAsia="Times New Roman" w:cs="Times New Roman"/>
          <w:lang w:val="es-CO"/>
        </w:rPr>
        <w:t>sUAS</w:t>
      </w:r>
      <w:proofErr w:type="spellEnd"/>
      <w:r w:rsidRPr="004A2C8D">
        <w:rPr>
          <w:rFonts w:eastAsia="Times New Roman" w:cs="Times New Roman"/>
          <w:lang w:val="es-CO"/>
        </w:rPr>
        <w:t xml:space="preserve"> sintética introduce supervisión y decisiones; y las capas de carga, conciencia situacional, fisiología y procedencia permiten interpretar por qué cambia el rendimiento. Esta arquitectura responde mejor al concepto de envolvente de desempeño humano que una única tarea o sensor, porque reconoce que rendimiento, esfuerzo y estado no son intercambiables [31]–[36].</w:t>
      </w:r>
    </w:p>
    <w:p w14:paraId="7E377F9E" w14:textId="77777777" w:rsidR="00FA6ADD" w:rsidRPr="004A2C8D" w:rsidRDefault="00000000">
      <w:pPr>
        <w:spacing w:after="40"/>
        <w:ind w:firstLine="283"/>
        <w:jc w:val="both"/>
        <w:rPr>
          <w:lang w:val="es-CO"/>
        </w:rPr>
      </w:pPr>
      <w:r w:rsidRPr="004A2C8D">
        <w:rPr>
          <w:rFonts w:eastAsia="Times New Roman" w:cs="Times New Roman"/>
          <w:lang w:val="es-CO"/>
        </w:rPr>
        <w:t>La separación de dominios es una fortaleza metodológica. Un operador puede mejorar el tiempo de vuelta aumentando riesgo y esfuerzo; mantener rendimiento MATB a costa de carga subjetiva; o conservar carga estable mediante una estrategia que perjudique una subtarea. Los estudios de MATB han mostrado que dificultad, solapamiento, transiciones y automatización modifican de manera distinta desempeño, carga y fisiología [23], [26], [27], [32]–[33], [40]–[42]. Por ello, la plataforma debe reportar perfiles multivariados y no una clasificación simplificada de «bueno» o «malo».</w:t>
      </w:r>
    </w:p>
    <w:p w14:paraId="3227C5BD" w14:textId="77777777" w:rsidR="00FA6ADD" w:rsidRPr="004A2C8D" w:rsidRDefault="00000000">
      <w:pPr>
        <w:pStyle w:val="Heading2"/>
        <w:spacing w:before="80" w:after="40"/>
        <w:rPr>
          <w:lang w:val="es-CO"/>
        </w:rPr>
      </w:pPr>
      <w:r w:rsidRPr="004A2C8D">
        <w:rPr>
          <w:rFonts w:ascii="Times New Roman" w:eastAsia="Times New Roman" w:hAnsi="Times New Roman" w:cs="Times New Roman"/>
          <w:sz w:val="20"/>
          <w:lang w:val="es-CO"/>
        </w:rPr>
        <w:t>4.2 Innovación frente a NASA, USAF y Ejército de Estados Unidos</w:t>
      </w:r>
    </w:p>
    <w:p w14:paraId="3AD9A885" w14:textId="77777777" w:rsidR="00FA6ADD" w:rsidRPr="004A2C8D" w:rsidRDefault="00000000">
      <w:pPr>
        <w:spacing w:after="40"/>
        <w:ind w:firstLine="283"/>
        <w:jc w:val="both"/>
        <w:rPr>
          <w:lang w:val="es-CO"/>
        </w:rPr>
      </w:pPr>
      <w:r w:rsidRPr="004A2C8D">
        <w:rPr>
          <w:rFonts w:eastAsia="Times New Roman" w:cs="Times New Roman"/>
          <w:lang w:val="es-CO"/>
        </w:rPr>
        <w:t xml:space="preserve">Frente a NASA, el repositorio amplía la batería clásica hacia un ecosistema longitudinal y multimodal, pero no posee todavía la misma madurez histórica ni equivalencia demostrada. Frente a AF-MATB, añade localización, FPV, fisiología local, conciencia situacional y gobernanza de datos, mientras que AF-MATB conserva un precedente sólido de sincronización instrumental. Frente a USAARL, integra un escenario </w:t>
      </w:r>
      <w:proofErr w:type="spellStart"/>
      <w:r w:rsidRPr="004A2C8D">
        <w:rPr>
          <w:rFonts w:eastAsia="Times New Roman" w:cs="Times New Roman"/>
          <w:lang w:val="es-CO"/>
        </w:rPr>
        <w:t>sUAS</w:t>
      </w:r>
      <w:proofErr w:type="spellEnd"/>
      <w:r w:rsidRPr="004A2C8D">
        <w:rPr>
          <w:rFonts w:eastAsia="Times New Roman" w:cs="Times New Roman"/>
          <w:lang w:val="es-CO"/>
        </w:rPr>
        <w:t xml:space="preserve"> y una tarea manual FPV que no forman parte del núcleo institucional; USAARL, a su vez, tiene una implementación documentada de reasignación de tareas dependiente del desempeño que la plataforma revisada todavía considera experimental. Frente a </w:t>
      </w:r>
      <w:proofErr w:type="spellStart"/>
      <w:r w:rsidRPr="004A2C8D">
        <w:rPr>
          <w:rFonts w:eastAsia="Times New Roman" w:cs="Times New Roman"/>
          <w:lang w:val="es-CO"/>
        </w:rPr>
        <w:t>OpenMATB</w:t>
      </w:r>
      <w:proofErr w:type="spellEnd"/>
      <w:r w:rsidRPr="004A2C8D">
        <w:rPr>
          <w:rFonts w:eastAsia="Times New Roman" w:cs="Times New Roman"/>
          <w:lang w:val="es-CO"/>
        </w:rPr>
        <w:t>, el aporte es la capa de integración, no la reinvención del motor abierto [17]–[22].</w:t>
      </w:r>
    </w:p>
    <w:p w14:paraId="4B22CD62" w14:textId="77777777" w:rsidR="00FA6ADD" w:rsidRPr="004A2C8D" w:rsidRDefault="00000000">
      <w:pPr>
        <w:spacing w:after="40"/>
        <w:ind w:firstLine="283"/>
        <w:jc w:val="both"/>
        <w:rPr>
          <w:lang w:val="es-CO"/>
        </w:rPr>
      </w:pPr>
      <w:r w:rsidRPr="004A2C8D">
        <w:rPr>
          <w:rFonts w:eastAsia="Times New Roman" w:cs="Times New Roman"/>
          <w:lang w:val="es-CO"/>
        </w:rPr>
        <w:t xml:space="preserve">La formulación científicamente defendible es, por tanto, «mayor amplitud integrada para investigación </w:t>
      </w:r>
      <w:proofErr w:type="spellStart"/>
      <w:r w:rsidRPr="004A2C8D">
        <w:rPr>
          <w:rFonts w:eastAsia="Times New Roman" w:cs="Times New Roman"/>
          <w:lang w:val="es-CO"/>
        </w:rPr>
        <w:t>sUAS</w:t>
      </w:r>
      <w:proofErr w:type="spellEnd"/>
      <w:r w:rsidRPr="004A2C8D">
        <w:rPr>
          <w:rFonts w:eastAsia="Times New Roman" w:cs="Times New Roman"/>
          <w:lang w:val="es-CO"/>
        </w:rPr>
        <w:t>/FPV» y no «mayor validez». Esta diferencia es esencial para revisión por pares. La amplitud puede demostrarse mediante funciones y contratos; la validez requiere participantes, criterios y replicación independiente. El manuscrito evita también equiparar disponibilidad de código con ciencia abierta completa: el repositorio está en desarrollo y la publicación debe acompañarse de una versión archivada, dependencias, escenarios, diccionario de datos, pruebas y licencia por componente.</w:t>
      </w:r>
    </w:p>
    <w:p w14:paraId="112E04FE" w14:textId="77777777" w:rsidR="00FA6ADD" w:rsidRPr="004A2C8D" w:rsidRDefault="00000000">
      <w:pPr>
        <w:pStyle w:val="Heading2"/>
        <w:spacing w:before="80" w:after="40"/>
        <w:rPr>
          <w:lang w:val="es-CO"/>
        </w:rPr>
      </w:pPr>
      <w:r w:rsidRPr="004A2C8D">
        <w:rPr>
          <w:rFonts w:ascii="Times New Roman" w:eastAsia="Times New Roman" w:hAnsi="Times New Roman" w:cs="Times New Roman"/>
          <w:sz w:val="20"/>
          <w:lang w:val="es-CO"/>
        </w:rPr>
        <w:t>4.3 Medición longitudinal de destreza FPV</w:t>
      </w:r>
    </w:p>
    <w:p w14:paraId="2D823654" w14:textId="77777777" w:rsidR="00FA6ADD" w:rsidRPr="004A2C8D" w:rsidRDefault="00000000">
      <w:pPr>
        <w:spacing w:after="40"/>
        <w:ind w:firstLine="283"/>
        <w:jc w:val="both"/>
        <w:rPr>
          <w:lang w:val="es-CO"/>
        </w:rPr>
      </w:pPr>
      <w:r w:rsidRPr="004A2C8D">
        <w:rPr>
          <w:rFonts w:eastAsia="Times New Roman" w:cs="Times New Roman"/>
          <w:lang w:val="es-CO"/>
        </w:rPr>
        <w:t>La evidencia disponible respalda utilizar simuladores para familiarización, aprendizaje y medición de patrones de control, pero no existe una validación publicada de MATB integrado con Liftoff como prueba longitudinal de competencia FPV. Los trabajos sobre pericia muestran diferencias en velocidad, línea de carrera, finalización y estabilidad; los estudios de entrenamiento describen mejoría y mesetas; y la teoría de control manual aporta métricas de error, actividad y retención [6]–[16], [30]. Estos antecedentes justifican el protocolo, no demuestran su validez.</w:t>
      </w:r>
    </w:p>
    <w:p w14:paraId="776AF4E0" w14:textId="77777777" w:rsidR="00FA6ADD" w:rsidRPr="004A2C8D" w:rsidRDefault="00000000">
      <w:pPr>
        <w:spacing w:after="40"/>
        <w:ind w:firstLine="283"/>
        <w:jc w:val="both"/>
        <w:rPr>
          <w:lang w:val="es-CO"/>
        </w:rPr>
      </w:pPr>
      <w:r w:rsidRPr="004A2C8D">
        <w:rPr>
          <w:rFonts w:eastAsia="Times New Roman" w:cs="Times New Roman"/>
          <w:lang w:val="es-CO"/>
        </w:rPr>
        <w:t>Un programa de validación deberá distinguir tres fuentes de cambio: aprendizaje real, familiarización con la interfaz y variabilidad de medición. Para ello se requieren práctica estandarizada, estabilidad del hardware, congelamiento del simulador, medición de confiabilidad test–</w:t>
      </w:r>
      <w:proofErr w:type="spellStart"/>
      <w:r w:rsidRPr="004A2C8D">
        <w:rPr>
          <w:rFonts w:eastAsia="Times New Roman" w:cs="Times New Roman"/>
          <w:lang w:val="es-CO"/>
        </w:rPr>
        <w:t>retest</w:t>
      </w:r>
      <w:proofErr w:type="spellEnd"/>
      <w:r w:rsidRPr="004A2C8D">
        <w:rPr>
          <w:rFonts w:eastAsia="Times New Roman" w:cs="Times New Roman"/>
          <w:lang w:val="es-CO"/>
        </w:rPr>
        <w:t xml:space="preserve">, error estándar de medida y cambio mínimo detectable. Los efectos de actualizaciones de </w:t>
      </w:r>
      <w:proofErr w:type="spellStart"/>
      <w:r w:rsidRPr="004A2C8D">
        <w:rPr>
          <w:rFonts w:eastAsia="Times New Roman" w:cs="Times New Roman"/>
          <w:lang w:val="es-CO"/>
        </w:rPr>
        <w:t>Liftoff</w:t>
      </w:r>
      <w:proofErr w:type="spellEnd"/>
      <w:r w:rsidRPr="004A2C8D">
        <w:rPr>
          <w:rFonts w:eastAsia="Times New Roman" w:cs="Times New Roman"/>
          <w:lang w:val="es-CO"/>
        </w:rPr>
        <w:t>, latencia de pantalla, transmisor y tasas de control deben registrarse como posibles modificadores. La transferencia deberá evaluarse contra un circuito real, con observadores cegados y desenlaces de seguridad, no contra clasificaciones públicas o tablas de posiciones.</w:t>
      </w:r>
    </w:p>
    <w:p w14:paraId="5D4136B3" w14:textId="77777777" w:rsidR="00FA6ADD" w:rsidRPr="004A2C8D" w:rsidRDefault="00000000">
      <w:pPr>
        <w:pStyle w:val="Heading2"/>
        <w:spacing w:before="80" w:after="40"/>
        <w:rPr>
          <w:lang w:val="es-CO"/>
        </w:rPr>
      </w:pPr>
      <w:r w:rsidRPr="004A2C8D">
        <w:rPr>
          <w:rFonts w:ascii="Times New Roman" w:eastAsia="Times New Roman" w:hAnsi="Times New Roman" w:cs="Times New Roman"/>
          <w:sz w:val="20"/>
          <w:lang w:val="es-CO"/>
        </w:rPr>
        <w:t>4.4 Carga mental, conciencia situacional y automatización</w:t>
      </w:r>
    </w:p>
    <w:p w14:paraId="29DC5EA6" w14:textId="77777777" w:rsidR="00FA6ADD" w:rsidRPr="004A2C8D" w:rsidRDefault="00000000">
      <w:pPr>
        <w:spacing w:after="40"/>
        <w:ind w:firstLine="283"/>
        <w:jc w:val="both"/>
        <w:rPr>
          <w:lang w:val="es-CO"/>
        </w:rPr>
      </w:pPr>
      <w:r w:rsidRPr="004A2C8D">
        <w:rPr>
          <w:rFonts w:eastAsia="Times New Roman" w:cs="Times New Roman"/>
          <w:lang w:val="es-CO"/>
        </w:rPr>
        <w:t xml:space="preserve">MATB es apropiado para manipular demanda, pero las revisiones advierten que una configuración insuficiente puede no detectar deterioro y una configuración excesiva puede inducir estrategias o efectos de techo y piso [23]–[27], [32]. La calibración local debe demostrar que los </w:t>
      </w:r>
      <w:proofErr w:type="spellStart"/>
      <w:r w:rsidRPr="004A2C8D">
        <w:rPr>
          <w:rFonts w:eastAsia="Times New Roman" w:cs="Times New Roman"/>
          <w:lang w:val="es-CO"/>
        </w:rPr>
        <w:t>presets</w:t>
      </w:r>
      <w:proofErr w:type="spellEnd"/>
      <w:r w:rsidRPr="004A2C8D">
        <w:rPr>
          <w:rFonts w:eastAsia="Times New Roman" w:cs="Times New Roman"/>
          <w:lang w:val="es-CO"/>
        </w:rPr>
        <w:t xml:space="preserve"> producen una respuesta ordenada en carga subjetiva y al menos un conjunto coherente de medidas de desempeño, sin exigir que todos los dominios cambien en la misma dirección. Los resultados deben analizarse por subtarea, porque TRACK, SYSMON, COMM y RESMAN compiten por recursos distintos.</w:t>
      </w:r>
    </w:p>
    <w:p w14:paraId="0627D62F" w14:textId="77777777" w:rsidR="00FA6ADD" w:rsidRPr="004A2C8D" w:rsidRDefault="00000000">
      <w:pPr>
        <w:spacing w:after="40"/>
        <w:ind w:firstLine="283"/>
        <w:jc w:val="both"/>
        <w:rPr>
          <w:lang w:val="es-CO"/>
        </w:rPr>
      </w:pPr>
      <w:r w:rsidRPr="004A2C8D">
        <w:rPr>
          <w:rFonts w:eastAsia="Times New Roman" w:cs="Times New Roman"/>
          <w:lang w:val="es-CO"/>
        </w:rPr>
        <w:t xml:space="preserve">SAGAT aporta una medida directa y basada en el escenario, pero las pausas pueden alterar la tarea y las preguntas deben representar estados realmente disponibles para el participante [29]. Las escalas subjetivas describen experiencia, no capacidad. La automatización adaptativa puede reducir carga o producir dependencia y pérdida de monitoreo según tipo, confiabilidad y momento de la transición [22], [40], [41]. Por ello, cualquier </w:t>
      </w:r>
      <w:r w:rsidRPr="004A2C8D">
        <w:rPr>
          <w:rFonts w:eastAsia="Times New Roman" w:cs="Times New Roman"/>
          <w:lang w:val="es-CO"/>
        </w:rPr>
        <w:lastRenderedPageBreak/>
        <w:t>reasignación basada en desempeño o fisiología debe permanecer experimental hasta que se validen el estimador, la política y sus fallos por separado.</w:t>
      </w:r>
    </w:p>
    <w:p w14:paraId="41506E50" w14:textId="77777777" w:rsidR="00FA6ADD" w:rsidRPr="004A2C8D" w:rsidRDefault="00000000">
      <w:pPr>
        <w:pStyle w:val="Heading2"/>
        <w:spacing w:before="80" w:after="40"/>
        <w:rPr>
          <w:lang w:val="es-CO"/>
        </w:rPr>
      </w:pPr>
      <w:r w:rsidRPr="004A2C8D">
        <w:rPr>
          <w:rFonts w:ascii="Times New Roman" w:eastAsia="Times New Roman" w:hAnsi="Times New Roman" w:cs="Times New Roman"/>
          <w:sz w:val="20"/>
          <w:lang w:val="es-CO"/>
        </w:rPr>
        <w:t>4.5 Papel y límites de la fisiología</w:t>
      </w:r>
    </w:p>
    <w:p w14:paraId="45A4D777" w14:textId="77777777" w:rsidR="00FA6ADD" w:rsidRPr="004A2C8D" w:rsidRDefault="00000000">
      <w:pPr>
        <w:spacing w:after="40"/>
        <w:ind w:firstLine="283"/>
        <w:jc w:val="both"/>
        <w:rPr>
          <w:lang w:val="es-CO"/>
        </w:rPr>
      </w:pPr>
      <w:r w:rsidRPr="004A2C8D">
        <w:rPr>
          <w:rFonts w:eastAsia="Times New Roman" w:cs="Times New Roman"/>
          <w:lang w:val="es-CO"/>
        </w:rPr>
        <w:t>La integración nativa de Polar H10 facilita recoger intervalos RR y alinear línea basal, tarea y recuperación. Esta capacidad puede revelar patrones intraindividuales y apoyar investigación sobre sueño, hipoxia, estrés o práctica prolongada, áreas en las que MATB ha mostrado utilidad [32], [34]–[36]. Sin embargo, frecuencia cardiaca y VFC son sensibles a respiración, postura, movimiento, condición física, temperatura, sustancias y hora circadiana. Una correlación con carga no demuestra especificidad ni causalidad.</w:t>
      </w:r>
    </w:p>
    <w:p w14:paraId="5FEAD95A" w14:textId="77777777" w:rsidR="00FA6ADD" w:rsidRPr="004A2C8D" w:rsidRDefault="00000000">
      <w:pPr>
        <w:spacing w:after="40"/>
        <w:ind w:firstLine="283"/>
        <w:jc w:val="both"/>
        <w:rPr>
          <w:lang w:val="es-CO"/>
        </w:rPr>
      </w:pPr>
      <w:r w:rsidRPr="004A2C8D">
        <w:rPr>
          <w:rFonts w:eastAsia="Times New Roman" w:cs="Times New Roman"/>
          <w:lang w:val="es-CO"/>
        </w:rPr>
        <w:t>El enfoque conservador del repositorio —descriptores por fases, calidad explícita y ausencia de alertas automáticas— es apropiado. La publicación futura deberá informar hardware, colocación, frecuencia de muestreo, filtrado, corrección de artefactos, cobertura y pérdidas, conforme con recomendaciones de VFC [34]–[39]. Los modelos multimodales pueden mejorar estimación de carga bajo condiciones concretas [36], pero su precisión interna no autoriza extrapolación a fatiga, aptitud o seguridad operacional.</w:t>
      </w:r>
    </w:p>
    <w:p w14:paraId="4FA14BD4" w14:textId="77777777" w:rsidR="00FA6ADD" w:rsidRPr="004A2C8D" w:rsidRDefault="00000000">
      <w:pPr>
        <w:pStyle w:val="Heading2"/>
        <w:spacing w:before="80" w:after="40"/>
        <w:rPr>
          <w:lang w:val="es-CO"/>
        </w:rPr>
      </w:pPr>
      <w:r w:rsidRPr="004A2C8D">
        <w:rPr>
          <w:rFonts w:ascii="Times New Roman" w:eastAsia="Times New Roman" w:hAnsi="Times New Roman" w:cs="Times New Roman"/>
          <w:sz w:val="20"/>
          <w:lang w:val="es-CO"/>
        </w:rPr>
        <w:t>4.6 Aplicaciones científicas y militares plausibles</w:t>
      </w:r>
    </w:p>
    <w:p w14:paraId="79E6E0B3" w14:textId="77777777" w:rsidR="00FA6ADD" w:rsidRPr="004A2C8D" w:rsidRDefault="00000000">
      <w:pPr>
        <w:spacing w:after="40"/>
        <w:ind w:firstLine="283"/>
        <w:jc w:val="both"/>
        <w:rPr>
          <w:lang w:val="es-CO"/>
        </w:rPr>
      </w:pPr>
      <w:r w:rsidRPr="004A2C8D">
        <w:rPr>
          <w:rFonts w:eastAsia="Times New Roman" w:cs="Times New Roman"/>
          <w:lang w:val="es-CO"/>
        </w:rPr>
        <w:t>Una vez validada, la plataforma podría apoyar investigación sobre adquisición y retención de destrezas FPV, atención dividida, interferencia entre pilotaje y comunicaciones, carga durante supervisión de múltiples vehículos, diseño de interfaces, confiabilidad de automatización, efectos de sueño o hipoxia y recuperación posterior a una tarea. También podría comparar métodos de instrucción mediante desenlaces objetivos y subjetivos. En entornos militares, su principal valor inmediato es experimental y educativo: generar evidencia para doctrina, diseño de formación y seguridad operacional, no calificar individuos [3], [14], [43].</w:t>
      </w:r>
    </w:p>
    <w:p w14:paraId="29472751" w14:textId="77777777" w:rsidR="00FA6ADD" w:rsidRPr="004A2C8D" w:rsidRDefault="00000000">
      <w:pPr>
        <w:spacing w:after="40"/>
        <w:ind w:firstLine="283"/>
        <w:jc w:val="both"/>
        <w:rPr>
          <w:lang w:val="es-CO"/>
        </w:rPr>
      </w:pPr>
      <w:r w:rsidRPr="004A2C8D">
        <w:rPr>
          <w:rFonts w:eastAsia="Times New Roman" w:cs="Times New Roman"/>
          <w:lang w:val="es-CO"/>
        </w:rPr>
        <w:t>El uso para selección, certificación, vigilancia de personal, preparación de combate o aptitud aeromédica exigiría mucho más que sensibilidad experimental. Serían necesarios normas poblacionales, análisis de sesgo, estabilidad, validez predictiva, consecuencias de clasificación, protección de datos y gobernanza institucional. Hasta entonces, la plataforma debe presentarse como instrumento de investigación y no como dispositivo diagnóstico, de mando o de control de aeronaves.</w:t>
      </w:r>
    </w:p>
    <w:p w14:paraId="29BC24AC" w14:textId="77777777" w:rsidR="00FA6ADD" w:rsidRPr="004A2C8D" w:rsidRDefault="00000000">
      <w:pPr>
        <w:pStyle w:val="Heading2"/>
        <w:spacing w:before="80" w:after="40"/>
        <w:rPr>
          <w:lang w:val="es-CO"/>
        </w:rPr>
      </w:pPr>
      <w:r w:rsidRPr="004A2C8D">
        <w:rPr>
          <w:rFonts w:ascii="Times New Roman" w:eastAsia="Times New Roman" w:hAnsi="Times New Roman" w:cs="Times New Roman"/>
          <w:sz w:val="20"/>
          <w:lang w:val="es-CO"/>
        </w:rPr>
        <w:t>4.7 Limitaciones</w:t>
      </w:r>
    </w:p>
    <w:p w14:paraId="31D79095" w14:textId="77777777" w:rsidR="00FA6ADD" w:rsidRPr="004A2C8D" w:rsidRDefault="00000000">
      <w:pPr>
        <w:spacing w:after="40"/>
        <w:ind w:firstLine="283"/>
        <w:jc w:val="both"/>
        <w:rPr>
          <w:lang w:val="es-CO"/>
        </w:rPr>
      </w:pPr>
      <w:r w:rsidRPr="004A2C8D">
        <w:rPr>
          <w:rFonts w:eastAsia="Times New Roman" w:cs="Times New Roman"/>
          <w:lang w:val="es-CO"/>
        </w:rPr>
        <w:t xml:space="preserve">Este estudio tiene limitaciones. Primero, la auditoría fue realizada sobre un repositorio desarrollado por el autor, lo que introduce conflicto de interés y requiere revisión independiente. Segundo, la inspección fue estática y no repitió todas las pruebas ni la medición física de latencias. Tercero, no se recolectaron datos humanos; por ello no se estimaron confiabilidad, validez, sensibilidad al aprendizaje ni transferencia. Cuarto, </w:t>
      </w:r>
      <w:proofErr w:type="spellStart"/>
      <w:r w:rsidRPr="004A2C8D">
        <w:rPr>
          <w:rFonts w:eastAsia="Times New Roman" w:cs="Times New Roman"/>
          <w:lang w:val="es-CO"/>
        </w:rPr>
        <w:t>Liftoff</w:t>
      </w:r>
      <w:proofErr w:type="spellEnd"/>
      <w:r w:rsidRPr="004A2C8D">
        <w:rPr>
          <w:rFonts w:eastAsia="Times New Roman" w:cs="Times New Roman"/>
          <w:lang w:val="es-CO"/>
        </w:rPr>
        <w:t xml:space="preserve"> es software comercial y sus actualizaciones pueden modificar telemetría, dinámica o interfaz. Quinto, las traducciones funcionales no equivalen a validación lingüística. Sexto, el protocolo exploratorio de 12 participantes no está dimensionado para inferencias confirmatorias ni para modelos predictivos.</w:t>
      </w:r>
    </w:p>
    <w:p w14:paraId="35D28383" w14:textId="77777777" w:rsidR="00FA6ADD" w:rsidRPr="004A2C8D" w:rsidRDefault="00000000">
      <w:pPr>
        <w:spacing w:after="40"/>
        <w:ind w:firstLine="283"/>
        <w:jc w:val="both"/>
        <w:rPr>
          <w:lang w:val="es-CO"/>
        </w:rPr>
      </w:pPr>
      <w:r w:rsidRPr="004A2C8D">
        <w:rPr>
          <w:rFonts w:eastAsia="Times New Roman" w:cs="Times New Roman"/>
          <w:lang w:val="es-CO"/>
        </w:rPr>
        <w:t>Además, la comparación institucional se basó en documentación pública y puede no reflejar desarrollos clasificados o internos. La amplitud de funciones no fue convertida en puntuación numérica para evitar ponderaciones arbitrarias. La plataforma también conserva componentes legados que deben reconciliarse con el registro autoritativo antes de análisis confirmatorios. Estas limitaciones son parte del resultado de calificación y no defectos que deban ocultarse.</w:t>
      </w:r>
    </w:p>
    <w:p w14:paraId="680C1B31" w14:textId="77777777" w:rsidR="00FA6ADD" w:rsidRPr="004A2C8D" w:rsidRDefault="00000000">
      <w:pPr>
        <w:pStyle w:val="Heading2"/>
        <w:spacing w:before="80" w:after="40"/>
        <w:rPr>
          <w:lang w:val="es-CO"/>
        </w:rPr>
      </w:pPr>
      <w:r w:rsidRPr="004A2C8D">
        <w:rPr>
          <w:rFonts w:ascii="Times New Roman" w:eastAsia="Times New Roman" w:hAnsi="Times New Roman" w:cs="Times New Roman"/>
          <w:sz w:val="20"/>
          <w:lang w:val="es-CO"/>
        </w:rPr>
        <w:t>4.8 Ruta recomendada de validación</w:t>
      </w:r>
    </w:p>
    <w:p w14:paraId="337C2881" w14:textId="77777777" w:rsidR="00FA6ADD" w:rsidRPr="004A2C8D" w:rsidRDefault="00000000">
      <w:pPr>
        <w:spacing w:after="40"/>
        <w:ind w:firstLine="283"/>
        <w:jc w:val="both"/>
        <w:rPr>
          <w:lang w:val="es-CO"/>
        </w:rPr>
      </w:pPr>
      <w:r w:rsidRPr="004A2C8D">
        <w:rPr>
          <w:rFonts w:eastAsia="Times New Roman" w:cs="Times New Roman"/>
          <w:lang w:val="es-CO"/>
        </w:rPr>
        <w:t xml:space="preserve">La secuencia recomendada se muestra en la Fig. 2. Primero debe completarse la calificación física del equipo nominal y documentar latencias visuales, auditivas </w:t>
      </w:r>
      <w:proofErr w:type="gramStart"/>
      <w:r w:rsidRPr="004A2C8D">
        <w:rPr>
          <w:rFonts w:eastAsia="Times New Roman" w:cs="Times New Roman"/>
          <w:lang w:val="es-CO"/>
        </w:rPr>
        <w:t>y</w:t>
      </w:r>
      <w:proofErr w:type="gramEnd"/>
      <w:r w:rsidRPr="004A2C8D">
        <w:rPr>
          <w:rFonts w:eastAsia="Times New Roman" w:cs="Times New Roman"/>
          <w:lang w:val="es-CO"/>
        </w:rPr>
        <w:t xml:space="preserve"> de entrada. Segundo, un estudio de factibilidad debe evaluar tolerabilidad, comprensión, pérdidas y distribución de desenlaces. Tercero, la calibración debe confirmar la manipulación de demanda y la confiabilidad test–</w:t>
      </w:r>
      <w:proofErr w:type="spellStart"/>
      <w:r w:rsidRPr="004A2C8D">
        <w:rPr>
          <w:rFonts w:eastAsia="Times New Roman" w:cs="Times New Roman"/>
          <w:lang w:val="es-CO"/>
        </w:rPr>
        <w:t>retest</w:t>
      </w:r>
      <w:proofErr w:type="spellEnd"/>
      <w:r w:rsidRPr="004A2C8D">
        <w:rPr>
          <w:rFonts w:eastAsia="Times New Roman" w:cs="Times New Roman"/>
          <w:lang w:val="es-CO"/>
        </w:rPr>
        <w:t xml:space="preserve">. Cuarto, la validez convergente y de criterio debe compararse con instrumentos establecidos y desempeño FPV externo. Quinto, la transferencia requiere vuelo real y retención. Solo después procede estudiar uso operacional. Cada etapa debe estar </w:t>
      </w:r>
      <w:proofErr w:type="spellStart"/>
      <w:r w:rsidRPr="004A2C8D">
        <w:rPr>
          <w:rFonts w:eastAsia="Times New Roman" w:cs="Times New Roman"/>
          <w:lang w:val="es-CO"/>
        </w:rPr>
        <w:t>prerregistrada</w:t>
      </w:r>
      <w:proofErr w:type="spellEnd"/>
      <w:r w:rsidRPr="004A2C8D">
        <w:rPr>
          <w:rFonts w:eastAsia="Times New Roman" w:cs="Times New Roman"/>
          <w:lang w:val="es-CO"/>
        </w:rPr>
        <w:t xml:space="preserve"> y una falla no debe reinterpretarse retrospectivamente como éxito.</w:t>
      </w:r>
    </w:p>
    <w:p w14:paraId="3D2AA073" w14:textId="77777777" w:rsidR="00FA6ADD" w:rsidRDefault="00000000">
      <w:pPr>
        <w:keepLines/>
        <w:spacing w:before="40" w:after="20"/>
        <w:jc w:val="center"/>
      </w:pPr>
      <w:r>
        <w:rPr>
          <w:noProof/>
        </w:rPr>
        <w:lastRenderedPageBreak/>
        <w:drawing>
          <wp:inline distT="0" distB="0" distL="0" distR="0" wp14:anchorId="37C6FD02" wp14:editId="67E503F3">
            <wp:extent cx="5472000" cy="3293826"/>
            <wp:effectExtent l="0" t="0" r="0" b="0"/>
            <wp:docPr id="2" name="Picture 2" descr="Escalera de evidencia en escala de grises que separa conformidad de software, tiempo físico, calibración humana, validez, transferencia y uso operacional." title="Escalera de evidencia en escala de grises que separa conformidad de software, tiempo físico, calibración humana, validez, transferencia y uso opera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_escalera_evidencia_grises.png"/>
                    <pic:cNvPicPr/>
                  </pic:nvPicPr>
                  <pic:blipFill>
                    <a:blip r:embed="rId10"/>
                    <a:stretch>
                      <a:fillRect/>
                    </a:stretch>
                  </pic:blipFill>
                  <pic:spPr>
                    <a:xfrm>
                      <a:off x="0" y="0"/>
                      <a:ext cx="5472000" cy="3293826"/>
                    </a:xfrm>
                    <a:prstGeom prst="rect">
                      <a:avLst/>
                    </a:prstGeom>
                  </pic:spPr>
                </pic:pic>
              </a:graphicData>
            </a:graphic>
          </wp:inline>
        </w:drawing>
      </w:r>
    </w:p>
    <w:p w14:paraId="275A2F79" w14:textId="77777777" w:rsidR="00FA6ADD" w:rsidRPr="004A2C8D" w:rsidRDefault="00000000">
      <w:pPr>
        <w:keepLines/>
        <w:spacing w:before="20" w:after="80"/>
        <w:jc w:val="both"/>
        <w:rPr>
          <w:lang w:val="es-CO"/>
        </w:rPr>
      </w:pPr>
      <w:r w:rsidRPr="004A2C8D">
        <w:rPr>
          <w:rFonts w:eastAsia="Times New Roman" w:cs="Times New Roman"/>
          <w:sz w:val="16"/>
          <w:lang w:val="es-CO"/>
        </w:rPr>
        <w:t>Fig. 2. Escalera de evidencia. La plataforma ha desarrollado la base de conformidad de software; la calificación física, la calibración humana, la validez, la transferencia y el uso operacional son niveles independientes pendientes.</w:t>
      </w:r>
    </w:p>
    <w:p w14:paraId="49DC0AAD" w14:textId="77777777" w:rsidR="00FA6ADD" w:rsidRPr="004A2C8D" w:rsidRDefault="00000000">
      <w:pPr>
        <w:pStyle w:val="Heading1"/>
        <w:spacing w:before="120" w:after="40"/>
        <w:rPr>
          <w:lang w:val="es-CO"/>
        </w:rPr>
      </w:pPr>
      <w:r w:rsidRPr="004A2C8D">
        <w:rPr>
          <w:rFonts w:ascii="Times New Roman" w:eastAsia="Times New Roman" w:hAnsi="Times New Roman" w:cs="Times New Roman"/>
          <w:sz w:val="20"/>
          <w:lang w:val="es-CO"/>
        </w:rPr>
        <w:t>5. Conclusiones</w:t>
      </w:r>
    </w:p>
    <w:p w14:paraId="199260E6" w14:textId="77777777" w:rsidR="00FA6ADD" w:rsidRPr="004A2C8D" w:rsidRDefault="00000000">
      <w:pPr>
        <w:spacing w:after="40"/>
        <w:ind w:firstLine="283"/>
        <w:jc w:val="both"/>
        <w:rPr>
          <w:lang w:val="es-CO"/>
        </w:rPr>
      </w:pPr>
      <w:r w:rsidRPr="004A2C8D">
        <w:rPr>
          <w:rFonts w:eastAsia="Times New Roman" w:cs="Times New Roman"/>
          <w:lang w:val="es-CO"/>
        </w:rPr>
        <w:t xml:space="preserve">La fase tecnológica revisada produjo una plataforma integrada capaz de coordinar una batería multitarea, vuelo manual FPV, supervisión </w:t>
      </w:r>
      <w:proofErr w:type="spellStart"/>
      <w:r w:rsidRPr="004A2C8D">
        <w:rPr>
          <w:rFonts w:eastAsia="Times New Roman" w:cs="Times New Roman"/>
          <w:lang w:val="es-CO"/>
        </w:rPr>
        <w:t>sUAS</w:t>
      </w:r>
      <w:proofErr w:type="spellEnd"/>
      <w:r w:rsidRPr="004A2C8D">
        <w:rPr>
          <w:rFonts w:eastAsia="Times New Roman" w:cs="Times New Roman"/>
          <w:lang w:val="es-CO"/>
        </w:rPr>
        <w:t xml:space="preserve"> sintética, carga subjetiva, conciencia situacional, fisiología y seguimiento longitudinal. Su aporte diferencial frente a NASA, USAF, </w:t>
      </w:r>
      <w:proofErr w:type="spellStart"/>
      <w:r w:rsidRPr="004A2C8D">
        <w:rPr>
          <w:rFonts w:eastAsia="Times New Roman" w:cs="Times New Roman"/>
          <w:lang w:val="es-CO"/>
        </w:rPr>
        <w:t>OpenMATB</w:t>
      </w:r>
      <w:proofErr w:type="spellEnd"/>
      <w:r w:rsidRPr="004A2C8D">
        <w:rPr>
          <w:rFonts w:eastAsia="Times New Roman" w:cs="Times New Roman"/>
          <w:lang w:val="es-CO"/>
        </w:rPr>
        <w:t xml:space="preserve"> y USAARL es la conexión explícita entre esos dominios, la localización aeronáutica al español y una gobernanza de datos orientada a procedencia, reproducción y bloqueo ante evidencia incompleta.</w:t>
      </w:r>
    </w:p>
    <w:p w14:paraId="1F9C0710" w14:textId="77777777" w:rsidR="00FA6ADD" w:rsidRPr="004A2C8D" w:rsidRDefault="00000000">
      <w:pPr>
        <w:spacing w:after="40"/>
        <w:ind w:firstLine="283"/>
        <w:jc w:val="both"/>
        <w:rPr>
          <w:lang w:val="es-CO"/>
        </w:rPr>
      </w:pPr>
      <w:r w:rsidRPr="004A2C8D">
        <w:rPr>
          <w:rFonts w:eastAsia="Times New Roman" w:cs="Times New Roman"/>
          <w:lang w:val="es-CO"/>
        </w:rPr>
        <w:t xml:space="preserve">La plataforma no es, en su estado actual, científicamente superior a las variantes institucionales en términos de validez. NASA mantiene el referente canónico; AF-MATB conserva una referencia de instrumentación; </w:t>
      </w:r>
      <w:proofErr w:type="spellStart"/>
      <w:r w:rsidRPr="004A2C8D">
        <w:rPr>
          <w:rFonts w:eastAsia="Times New Roman" w:cs="Times New Roman"/>
          <w:lang w:val="es-CO"/>
        </w:rPr>
        <w:t>OpenMATB</w:t>
      </w:r>
      <w:proofErr w:type="spellEnd"/>
      <w:r w:rsidRPr="004A2C8D">
        <w:rPr>
          <w:rFonts w:eastAsia="Times New Roman" w:cs="Times New Roman"/>
          <w:lang w:val="es-CO"/>
        </w:rPr>
        <w:t xml:space="preserve"> aporta apertura y extensibilidad; y USAARL lidera la automatización adaptativa documentada. El repositorio ofrece una mayor amplitud integrada para preguntas </w:t>
      </w:r>
      <w:proofErr w:type="spellStart"/>
      <w:r w:rsidRPr="004A2C8D">
        <w:rPr>
          <w:rFonts w:eastAsia="Times New Roman" w:cs="Times New Roman"/>
          <w:lang w:val="es-CO"/>
        </w:rPr>
        <w:t>sUAS</w:t>
      </w:r>
      <w:proofErr w:type="spellEnd"/>
      <w:r w:rsidRPr="004A2C8D">
        <w:rPr>
          <w:rFonts w:eastAsia="Times New Roman" w:cs="Times New Roman"/>
          <w:lang w:val="es-CO"/>
        </w:rPr>
        <w:t>/FPV, pero su calificación física y validación humana están pendientes.</w:t>
      </w:r>
    </w:p>
    <w:p w14:paraId="3FC7AA6F" w14:textId="77777777" w:rsidR="00FA6ADD" w:rsidRPr="004A2C8D" w:rsidRDefault="00000000">
      <w:pPr>
        <w:spacing w:after="40"/>
        <w:ind w:firstLine="283"/>
        <w:jc w:val="both"/>
        <w:rPr>
          <w:lang w:val="es-CO"/>
        </w:rPr>
      </w:pPr>
      <w:r w:rsidRPr="004A2C8D">
        <w:rPr>
          <w:rFonts w:eastAsia="Times New Roman" w:cs="Times New Roman"/>
          <w:lang w:val="es-CO"/>
        </w:rPr>
        <w:t xml:space="preserve">La interpretación apropiada es la de un instrumento de investigación listo para pasar de conformidad de software a calificación del sistema y estudios prospectivos. Las medidas deben permanecer separadas; la fisiología no debe usarse para diagnóstico o aptitud; y los </w:t>
      </w:r>
      <w:proofErr w:type="spellStart"/>
      <w:r w:rsidRPr="004A2C8D">
        <w:rPr>
          <w:rFonts w:eastAsia="Times New Roman" w:cs="Times New Roman"/>
          <w:lang w:val="es-CO"/>
        </w:rPr>
        <w:t>presets</w:t>
      </w:r>
      <w:proofErr w:type="spellEnd"/>
      <w:r w:rsidRPr="004A2C8D">
        <w:rPr>
          <w:rFonts w:eastAsia="Times New Roman" w:cs="Times New Roman"/>
          <w:lang w:val="es-CO"/>
        </w:rPr>
        <w:t xml:space="preserve"> de carga no deben presentarse como niveles calibrados. La siguiente prioridad no es añadir más funciones, sino demostrar tiempo físico, factibilidad, confiabilidad, validez y transferencia con protocolos </w:t>
      </w:r>
      <w:proofErr w:type="spellStart"/>
      <w:r w:rsidRPr="004A2C8D">
        <w:rPr>
          <w:rFonts w:eastAsia="Times New Roman" w:cs="Times New Roman"/>
          <w:lang w:val="es-CO"/>
        </w:rPr>
        <w:t>prerregistrados</w:t>
      </w:r>
      <w:proofErr w:type="spellEnd"/>
      <w:r w:rsidRPr="004A2C8D">
        <w:rPr>
          <w:rFonts w:eastAsia="Times New Roman" w:cs="Times New Roman"/>
          <w:lang w:val="es-CO"/>
        </w:rPr>
        <w:t xml:space="preserve"> e independientes.</w:t>
      </w:r>
    </w:p>
    <w:p w14:paraId="69E231F3" w14:textId="77777777" w:rsidR="00FA6ADD" w:rsidRPr="004A2C8D" w:rsidRDefault="00000000">
      <w:pPr>
        <w:spacing w:after="40"/>
        <w:ind w:firstLine="283"/>
        <w:jc w:val="both"/>
        <w:rPr>
          <w:lang w:val="es-CO"/>
        </w:rPr>
      </w:pPr>
      <w:r w:rsidRPr="004A2C8D">
        <w:rPr>
          <w:rFonts w:eastAsia="Times New Roman" w:cs="Times New Roman"/>
          <w:lang w:val="es-CO"/>
        </w:rPr>
        <w:t xml:space="preserve">Bajo estas condiciones, la plataforma puede convertirse en una infraestructura científicamente útil para estudiar aprendizaje, carga mental, conciencia situacional y desempeño humano en formación </w:t>
      </w:r>
      <w:proofErr w:type="spellStart"/>
      <w:r w:rsidRPr="004A2C8D">
        <w:rPr>
          <w:rFonts w:eastAsia="Times New Roman" w:cs="Times New Roman"/>
          <w:lang w:val="es-CO"/>
        </w:rPr>
        <w:t>sUAS</w:t>
      </w:r>
      <w:proofErr w:type="spellEnd"/>
      <w:r w:rsidRPr="004A2C8D">
        <w:rPr>
          <w:rFonts w:eastAsia="Times New Roman" w:cs="Times New Roman"/>
          <w:lang w:val="es-CO"/>
        </w:rPr>
        <w:t>/FPV, y contribuir a la seguridad operacional y al desarrollo doctrinal sin exceder la evidencia disponible.</w:t>
      </w:r>
    </w:p>
    <w:p w14:paraId="25A31803" w14:textId="77777777" w:rsidR="00FA6ADD" w:rsidRPr="004A2C8D" w:rsidRDefault="00000000">
      <w:pPr>
        <w:pStyle w:val="Heading1"/>
        <w:spacing w:before="120" w:after="40"/>
        <w:rPr>
          <w:lang w:val="es-CO"/>
        </w:rPr>
      </w:pPr>
      <w:r w:rsidRPr="004A2C8D">
        <w:rPr>
          <w:rFonts w:ascii="Times New Roman" w:eastAsia="Times New Roman" w:hAnsi="Times New Roman" w:cs="Times New Roman"/>
          <w:sz w:val="20"/>
          <w:lang w:val="es-CO"/>
        </w:rPr>
        <w:t>6. Declaraciones</w:t>
      </w:r>
    </w:p>
    <w:p w14:paraId="7CDCF1AB" w14:textId="77777777" w:rsidR="00FA6ADD" w:rsidRPr="004A2C8D" w:rsidRDefault="00000000">
      <w:pPr>
        <w:pStyle w:val="Heading2"/>
        <w:spacing w:before="80" w:after="40"/>
        <w:rPr>
          <w:lang w:val="es-CO"/>
        </w:rPr>
      </w:pPr>
      <w:r w:rsidRPr="004A2C8D">
        <w:rPr>
          <w:rFonts w:ascii="Times New Roman" w:eastAsia="Times New Roman" w:hAnsi="Times New Roman" w:cs="Times New Roman"/>
          <w:sz w:val="20"/>
          <w:lang w:val="es-CO"/>
        </w:rPr>
        <w:t>6.1 Consideraciones éticas</w:t>
      </w:r>
    </w:p>
    <w:p w14:paraId="4330315F" w14:textId="77777777" w:rsidR="00FA6ADD" w:rsidRPr="004A2C8D" w:rsidRDefault="00000000">
      <w:pPr>
        <w:spacing w:after="40"/>
        <w:ind w:firstLine="283"/>
        <w:jc w:val="both"/>
        <w:rPr>
          <w:lang w:val="es-CO"/>
        </w:rPr>
      </w:pPr>
      <w:r w:rsidRPr="004A2C8D">
        <w:rPr>
          <w:rFonts w:eastAsia="Times New Roman" w:cs="Times New Roman"/>
          <w:lang w:val="es-CO"/>
        </w:rPr>
        <w:t>La fase reportada no involucró participantes humanos ni datos personales. Los estudios posteriores deberán obtener aprobación ética y consentimiento informado antes de recolectar información de operadores.</w:t>
      </w:r>
    </w:p>
    <w:p w14:paraId="2AE2D3EB" w14:textId="77777777" w:rsidR="00FA6ADD" w:rsidRPr="004A2C8D" w:rsidRDefault="00000000">
      <w:pPr>
        <w:pStyle w:val="Heading2"/>
        <w:spacing w:before="80" w:after="40"/>
        <w:rPr>
          <w:lang w:val="es-CO"/>
        </w:rPr>
      </w:pPr>
      <w:r w:rsidRPr="004A2C8D">
        <w:rPr>
          <w:rFonts w:ascii="Times New Roman" w:eastAsia="Times New Roman" w:hAnsi="Times New Roman" w:cs="Times New Roman"/>
          <w:sz w:val="20"/>
          <w:lang w:val="es-CO"/>
        </w:rPr>
        <w:t>6.2 Conflicto de interés</w:t>
      </w:r>
    </w:p>
    <w:p w14:paraId="5AE8A002" w14:textId="77777777" w:rsidR="00FA6ADD" w:rsidRPr="004A2C8D" w:rsidRDefault="00000000">
      <w:pPr>
        <w:spacing w:after="40"/>
        <w:ind w:firstLine="283"/>
        <w:jc w:val="both"/>
        <w:rPr>
          <w:lang w:val="es-CO"/>
        </w:rPr>
      </w:pPr>
      <w:r w:rsidRPr="004A2C8D">
        <w:rPr>
          <w:rFonts w:eastAsia="Times New Roman" w:cs="Times New Roman"/>
          <w:lang w:val="es-CO"/>
        </w:rPr>
        <w:t>El autor es desarrollador del repositorio evaluado. Esta relación debe declararse y mitigarse mediante auditoría externa, archivo inmutable del software y replicación independiente.</w:t>
      </w:r>
    </w:p>
    <w:p w14:paraId="294F4B10" w14:textId="77777777" w:rsidR="00FA6ADD" w:rsidRPr="004A2C8D" w:rsidRDefault="00000000">
      <w:pPr>
        <w:pStyle w:val="Heading2"/>
        <w:spacing w:before="80" w:after="40"/>
        <w:rPr>
          <w:lang w:val="es-CO"/>
        </w:rPr>
      </w:pPr>
      <w:r w:rsidRPr="004A2C8D">
        <w:rPr>
          <w:rFonts w:ascii="Times New Roman" w:eastAsia="Times New Roman" w:hAnsi="Times New Roman" w:cs="Times New Roman"/>
          <w:sz w:val="20"/>
          <w:lang w:val="es-CO"/>
        </w:rPr>
        <w:t>6.3 Financiación</w:t>
      </w:r>
    </w:p>
    <w:p w14:paraId="61FF7296" w14:textId="77777777" w:rsidR="00FA6ADD" w:rsidRPr="004A2C8D" w:rsidRDefault="00000000">
      <w:pPr>
        <w:spacing w:after="40"/>
        <w:ind w:firstLine="283"/>
        <w:jc w:val="both"/>
        <w:rPr>
          <w:lang w:val="es-CO"/>
        </w:rPr>
      </w:pPr>
      <w:r w:rsidRPr="004A2C8D">
        <w:rPr>
          <w:rFonts w:eastAsia="Times New Roman" w:cs="Times New Roman"/>
          <w:lang w:val="es-CO"/>
        </w:rPr>
        <w:t>Información de financiación por completar antes del envío editorial.</w:t>
      </w:r>
    </w:p>
    <w:p w14:paraId="1FDBD32A" w14:textId="77777777" w:rsidR="00FA6ADD" w:rsidRPr="004A2C8D" w:rsidRDefault="00000000">
      <w:pPr>
        <w:pStyle w:val="Heading2"/>
        <w:spacing w:before="80" w:after="40"/>
        <w:rPr>
          <w:lang w:val="es-CO"/>
        </w:rPr>
      </w:pPr>
      <w:r w:rsidRPr="004A2C8D">
        <w:rPr>
          <w:rFonts w:ascii="Times New Roman" w:eastAsia="Times New Roman" w:hAnsi="Times New Roman" w:cs="Times New Roman"/>
          <w:sz w:val="20"/>
          <w:lang w:val="es-CO"/>
        </w:rPr>
        <w:t>6.4 Disponibilidad de software y materiales</w:t>
      </w:r>
    </w:p>
    <w:p w14:paraId="4F40B099" w14:textId="77777777" w:rsidR="00FA6ADD" w:rsidRPr="004A2C8D" w:rsidRDefault="00000000">
      <w:pPr>
        <w:spacing w:after="40"/>
        <w:ind w:firstLine="283"/>
        <w:jc w:val="both"/>
        <w:rPr>
          <w:lang w:val="es-CO"/>
        </w:rPr>
      </w:pPr>
      <w:r w:rsidRPr="004A2C8D">
        <w:rPr>
          <w:rFonts w:eastAsia="Times New Roman" w:cs="Times New Roman"/>
          <w:lang w:val="es-CO"/>
        </w:rPr>
        <w:t xml:space="preserve">El manuscrito se refiere al </w:t>
      </w:r>
      <w:proofErr w:type="spellStart"/>
      <w:r w:rsidRPr="004A2C8D">
        <w:rPr>
          <w:rFonts w:eastAsia="Times New Roman" w:cs="Times New Roman"/>
          <w:lang w:val="es-CO"/>
        </w:rPr>
        <w:t>commit</w:t>
      </w:r>
      <w:proofErr w:type="spellEnd"/>
      <w:r w:rsidRPr="004A2C8D">
        <w:rPr>
          <w:rFonts w:eastAsia="Times New Roman" w:cs="Times New Roman"/>
          <w:lang w:val="es-CO"/>
        </w:rPr>
        <w:t xml:space="preserve"> abreviado d9f0882c6ef6; la referencia de software conserva el identificador completo. Antes de la publicación debe depositarse una versión archivada y citable con licencia, dependencias, escenarios, diccionario de datos, protocolos de calificación y ejemplos no identificables.</w:t>
      </w:r>
    </w:p>
    <w:p w14:paraId="7FC3BC37" w14:textId="77777777" w:rsidR="00FA6ADD" w:rsidRPr="004A2C8D" w:rsidRDefault="00000000">
      <w:pPr>
        <w:pStyle w:val="Heading2"/>
        <w:spacing w:before="80" w:after="40"/>
        <w:rPr>
          <w:lang w:val="es-CO"/>
        </w:rPr>
      </w:pPr>
      <w:r w:rsidRPr="004A2C8D">
        <w:rPr>
          <w:rFonts w:ascii="Times New Roman" w:eastAsia="Times New Roman" w:hAnsi="Times New Roman" w:cs="Times New Roman"/>
          <w:sz w:val="20"/>
          <w:lang w:val="es-CO"/>
        </w:rPr>
        <w:lastRenderedPageBreak/>
        <w:t>6.5 Contribuciones del autor</w:t>
      </w:r>
    </w:p>
    <w:p w14:paraId="131873A2" w14:textId="7B0BC96F" w:rsidR="00FA6ADD" w:rsidRDefault="00000000">
      <w:pPr>
        <w:spacing w:after="40"/>
        <w:ind w:firstLine="283"/>
        <w:jc w:val="both"/>
      </w:pPr>
      <w:r w:rsidRPr="004A2C8D">
        <w:rPr>
          <w:rFonts w:eastAsia="Times New Roman" w:cs="Times New Roman"/>
          <w:lang w:val="es-CO"/>
        </w:rPr>
        <w:t>Conceptualización, diseño del software, metodología, investigación, curación de documentación, análisis, visualización y redacción: Diego Leonel Malpica Hincapié.</w:t>
      </w:r>
    </w:p>
    <w:p w14:paraId="2C18C5D3" w14:textId="77777777" w:rsidR="00FA6ADD" w:rsidRDefault="00000000">
      <w:pPr>
        <w:pStyle w:val="Heading1"/>
        <w:spacing w:before="120" w:after="40"/>
      </w:pPr>
      <w:r>
        <w:rPr>
          <w:rFonts w:ascii="Times New Roman" w:eastAsia="Times New Roman" w:hAnsi="Times New Roman" w:cs="Times New Roman"/>
          <w:sz w:val="20"/>
        </w:rPr>
        <w:t>7. Referencias</w:t>
      </w:r>
    </w:p>
    <w:p w14:paraId="4D69FD6D" w14:textId="77777777" w:rsidR="00FA6ADD" w:rsidRDefault="00000000">
      <w:pPr>
        <w:spacing w:after="24"/>
        <w:ind w:left="312" w:hanging="312"/>
      </w:pPr>
      <w:r>
        <w:rPr>
          <w:rFonts w:eastAsia="Times New Roman" w:cs="Times New Roman"/>
        </w:rPr>
        <w:t>[1] R. Stephenson, D. Truong y B. D. Pan, “A systems perspective on enhancing operator workload and situational awareness in small unmanned aircraft systems through first-person view integration,” Systems, vol. 14, no. 2, art. 167, 2026, doi: 10.3390/systems14020167.</w:t>
      </w:r>
    </w:p>
    <w:p w14:paraId="762C2D44" w14:textId="77777777" w:rsidR="00FA6ADD" w:rsidRDefault="00000000">
      <w:pPr>
        <w:spacing w:after="24"/>
        <w:ind w:left="312" w:hanging="312"/>
      </w:pPr>
      <w:r>
        <w:rPr>
          <w:rFonts w:eastAsia="Times New Roman" w:cs="Times New Roman"/>
        </w:rPr>
        <w:t>[2] O. McAree, J. M. Aitken y S. M. Veres, “Quantifying situation awareness for small unmanned aircraft,” The Aeronautical Journal, vol. 122, no. 1251, pp. 733–746, 2018, doi: 10.1017/aer.2018.14.</w:t>
      </w:r>
    </w:p>
    <w:p w14:paraId="17D16E69" w14:textId="77777777" w:rsidR="00FA6ADD" w:rsidRDefault="00000000">
      <w:pPr>
        <w:spacing w:after="24"/>
        <w:ind w:left="312" w:hanging="312"/>
      </w:pPr>
      <w:r>
        <w:rPr>
          <w:rFonts w:eastAsia="Times New Roman" w:cs="Times New Roman"/>
        </w:rPr>
        <w:t>[3] C. Scarince et al., “Training UAS pilots for divided attention demands with cognitive tasks and NIST courses,” Ergonomics in Design, pp. 169–176, 2024, doi: 10.1177/10648046241307505.</w:t>
      </w:r>
    </w:p>
    <w:p w14:paraId="58856A6A" w14:textId="77777777" w:rsidR="00FA6ADD" w:rsidRDefault="00000000">
      <w:pPr>
        <w:spacing w:after="24"/>
        <w:ind w:left="312" w:hanging="312"/>
      </w:pPr>
      <w:r>
        <w:rPr>
          <w:rFonts w:eastAsia="Times New Roman" w:cs="Times New Roman"/>
        </w:rPr>
        <w:t>[4] J. D. Trent y L. G. Barron, “Multitasking as a predictor of simulated unmanned aircraft mission performance: Incremental validity beyond cognitive ability,” Military Psychology, pp. 128–135, 2021, doi: 10.1080/08995605.2021.1897450.</w:t>
      </w:r>
    </w:p>
    <w:p w14:paraId="11504E29" w14:textId="77777777" w:rsidR="00FA6ADD" w:rsidRDefault="00000000">
      <w:pPr>
        <w:spacing w:after="24"/>
        <w:ind w:left="312" w:hanging="312"/>
      </w:pPr>
      <w:r>
        <w:rPr>
          <w:rFonts w:eastAsia="Times New Roman" w:cs="Times New Roman"/>
        </w:rPr>
        <w:t>[5] J. C. Ferraro et al., “Gaming experience predicts UAS operator performance and workload in simulated search and rescue missions,” Ergonomics, pp. 1659–1671, 2022, doi: 10.1080/00140139.2022.2048896.</w:t>
      </w:r>
    </w:p>
    <w:p w14:paraId="50D332B7" w14:textId="77777777" w:rsidR="00FA6ADD" w:rsidRDefault="00000000">
      <w:pPr>
        <w:spacing w:after="24"/>
        <w:ind w:left="312" w:hanging="312"/>
      </w:pPr>
      <w:r>
        <w:rPr>
          <w:rFonts w:eastAsia="Times New Roman" w:cs="Times New Roman"/>
        </w:rPr>
        <w:t>[6] D. Tezza, D. Laesker y M. Andujar, “The learning experience of becoming a FPV drone pilot,” en Companion of the 2021 ACM/IEEE International Conference on Human-Robot Interaction, 2021, doi: 10.1145/3434074.3447167.</w:t>
      </w:r>
    </w:p>
    <w:p w14:paraId="514D7CAF" w14:textId="77777777" w:rsidR="00FA6ADD" w:rsidRDefault="00000000">
      <w:pPr>
        <w:spacing w:after="24"/>
        <w:ind w:left="312" w:hanging="312"/>
      </w:pPr>
      <w:r>
        <w:rPr>
          <w:rFonts w:eastAsia="Times New Roman" w:cs="Times New Roman"/>
        </w:rPr>
        <w:t>[7] S. Kunde, E. M. Palmer y B. A. Duncan, “Recognizing user proficiency in piloting small unmanned aerial vehicles (sUAV),” IEEE Robotics and Automation Letters, vol. 7, no. 2, pp. 2345–2352, 2022, doi: 10.1109/LRA.2022.3142451.</w:t>
      </w:r>
    </w:p>
    <w:p w14:paraId="24B51620" w14:textId="77777777" w:rsidR="00FA6ADD" w:rsidRDefault="00000000">
      <w:pPr>
        <w:spacing w:after="24"/>
        <w:ind w:left="312" w:hanging="312"/>
      </w:pPr>
      <w:r>
        <w:rPr>
          <w:rFonts w:eastAsia="Times New Roman" w:cs="Times New Roman"/>
        </w:rPr>
        <w:t>[8] S. Kunde y B. A. Duncan, “Building user proficiency in piloting small unmanned aerial vehicles (sUAV),” en 2024 IEEE International Conference on Robotics and Automation, pp. 7946–7952, 2024, doi: 10.1109/ICRA57147.2024.10610439.</w:t>
      </w:r>
    </w:p>
    <w:p w14:paraId="521E8737" w14:textId="77777777" w:rsidR="00FA6ADD" w:rsidRDefault="00000000">
      <w:pPr>
        <w:spacing w:after="24"/>
        <w:ind w:left="312" w:hanging="312"/>
      </w:pPr>
      <w:r>
        <w:rPr>
          <w:rFonts w:eastAsia="Times New Roman" w:cs="Times New Roman"/>
        </w:rPr>
        <w:t>[9] A. Somerville et al., “Use of simulation for pre-training of drone pilots,” Drones, vol. 8, no. 11, art. 640, 2024, doi: 10.3390/drones8110640.</w:t>
      </w:r>
    </w:p>
    <w:p w14:paraId="78362EA8" w14:textId="77777777" w:rsidR="00FA6ADD" w:rsidRDefault="00000000">
      <w:pPr>
        <w:spacing w:after="24"/>
        <w:ind w:left="312" w:hanging="312"/>
      </w:pPr>
      <w:r>
        <w:rPr>
          <w:rFonts w:eastAsia="Times New Roman" w:cs="Times New Roman"/>
        </w:rPr>
        <w:t>[10] C. Pfeiffer y D. Scaramuzza, “Expertise affects drone racing performance,” arXiv:2109.07307, 2021, doi: 10.48550/arXiv.2109.07307.</w:t>
      </w:r>
    </w:p>
    <w:p w14:paraId="51A8CF87" w14:textId="77777777" w:rsidR="00FA6ADD" w:rsidRDefault="00000000">
      <w:pPr>
        <w:spacing w:after="24"/>
        <w:ind w:left="312" w:hanging="312"/>
      </w:pPr>
      <w:r>
        <w:rPr>
          <w:rFonts w:eastAsia="Times New Roman" w:cs="Times New Roman"/>
        </w:rPr>
        <w:t>[11] D. Doroftei et al., “Quantitative assessment of drone pilot performance,” Drones, vol. 8, no. 9, art. 482, 2024, doi: 10.3390/drones8090482.</w:t>
      </w:r>
    </w:p>
    <w:p w14:paraId="542E487B" w14:textId="77777777" w:rsidR="00FA6ADD" w:rsidRDefault="00000000">
      <w:pPr>
        <w:spacing w:after="24"/>
        <w:ind w:left="312" w:hanging="312"/>
      </w:pPr>
      <w:r>
        <w:rPr>
          <w:rFonts w:eastAsia="Times New Roman" w:cs="Times New Roman"/>
        </w:rPr>
        <w:t>[12] M. J. Dunn et al., “Effects of auditory and visual feedback on remote pilot manual flying performance,” Ergonomics, pp. 1380–1393, 2020, doi: 10.1080/00140139.2020.1792561.</w:t>
      </w:r>
    </w:p>
    <w:p w14:paraId="0E9F79BE" w14:textId="77777777" w:rsidR="00FA6ADD" w:rsidRDefault="00000000">
      <w:pPr>
        <w:spacing w:after="24"/>
        <w:ind w:left="312" w:hanging="312"/>
      </w:pPr>
      <w:r>
        <w:rPr>
          <w:rFonts w:eastAsia="Times New Roman" w:cs="Times New Roman"/>
        </w:rPr>
        <w:t>[13] M. J. Dunn et al., “Measured effects of workload and auditory feedback on remote pilot task performance,” Ergonomics, pp. 886–898, 2022, doi: 10.1080/00140139.2021.2003870.</w:t>
      </w:r>
    </w:p>
    <w:p w14:paraId="170E2673" w14:textId="77777777" w:rsidR="00FA6ADD" w:rsidRDefault="00000000">
      <w:pPr>
        <w:spacing w:after="24"/>
        <w:ind w:left="312" w:hanging="312"/>
      </w:pPr>
      <w:r>
        <w:rPr>
          <w:rFonts w:eastAsia="Times New Roman" w:cs="Times New Roman"/>
        </w:rPr>
        <w:t>[14] M. Zahed y T. Fields, “Evaluation of pilot and quadcopter performance from open-loop mission-oriented flight testing,” Proceedings of the Institution of Mechanical Engineers, Part G: Journal of Aerospace Engineering, pp. 1817–1830, 2021, doi: 10.1177/0954410020985987.</w:t>
      </w:r>
    </w:p>
    <w:p w14:paraId="14E5B4A4" w14:textId="77777777" w:rsidR="00FA6ADD" w:rsidRDefault="00000000">
      <w:pPr>
        <w:spacing w:after="24"/>
        <w:ind w:left="312" w:hanging="312"/>
      </w:pPr>
      <w:r>
        <w:rPr>
          <w:rFonts w:eastAsia="Times New Roman" w:cs="Times New Roman"/>
        </w:rPr>
        <w:t>[15] J. Hayes et al., “Identifying early predictors of learning in VR-based drone training,” Proceedings of the Human Factors and Ergonomics Society Annual Meeting, pp. 1872–1876, 2022, doi: 10.1177/1071181322661254.</w:t>
      </w:r>
    </w:p>
    <w:p w14:paraId="4B4FA728" w14:textId="77777777" w:rsidR="00FA6ADD" w:rsidRDefault="00000000">
      <w:pPr>
        <w:spacing w:after="24"/>
        <w:ind w:left="312" w:hanging="312"/>
      </w:pPr>
      <w:r>
        <w:rPr>
          <w:rFonts w:eastAsia="Times New Roman" w:cs="Times New Roman"/>
        </w:rPr>
        <w:t>[16] P. F. Renshaw y M. Wiggins, “The sensitivity of cue utilization when learning to operate a visual line of sight multi-rotor remotely piloted aircraft,” International Journal of Industrial Ergonomics, vol. 79, art. 102953, 2020, doi: 10.1016/j.ergon.2020.102953.</w:t>
      </w:r>
    </w:p>
    <w:p w14:paraId="49CC907C" w14:textId="77777777" w:rsidR="00FA6ADD" w:rsidRDefault="00000000">
      <w:pPr>
        <w:spacing w:after="24"/>
        <w:ind w:left="312" w:hanging="312"/>
      </w:pPr>
      <w:r>
        <w:rPr>
          <w:rFonts w:eastAsia="Times New Roman" w:cs="Times New Roman"/>
        </w:rPr>
        <w:t>[17] J. R. Comstock y R. J. Arnegard, The Multi-Attribute Task Battery for Human Operator Workload and Strategic Behavior Research. NASA-TM-104174, 1992.</w:t>
      </w:r>
    </w:p>
    <w:p w14:paraId="47CFAE8D" w14:textId="77777777" w:rsidR="00FA6ADD" w:rsidRDefault="00000000">
      <w:pPr>
        <w:spacing w:after="24"/>
        <w:ind w:left="312" w:hanging="312"/>
      </w:pPr>
      <w:r>
        <w:rPr>
          <w:rFonts w:eastAsia="Times New Roman" w:cs="Times New Roman"/>
        </w:rPr>
        <w:t>[18] Y. Santiago-Espada, R. R. Myer, K. A. Latorella y J. R. Comstock, The Multi-Attribute Task Battery II (MATB-II) Software for Human Performance and Workload Research: A User’s Guide. NASA/TM-2011-217164, 2011.</w:t>
      </w:r>
    </w:p>
    <w:p w14:paraId="05683855" w14:textId="77777777" w:rsidR="00FA6ADD" w:rsidRDefault="00000000">
      <w:pPr>
        <w:spacing w:after="24"/>
        <w:ind w:left="312" w:hanging="312"/>
      </w:pPr>
      <w:r>
        <w:rPr>
          <w:rFonts w:eastAsia="Times New Roman" w:cs="Times New Roman"/>
        </w:rPr>
        <w:t>[19] W. D. Miller, The U.S. Air Force-Developed Adaptation of the Multi-Attribute Task Battery for the Assessment of Human Operator Workload and Strategic Behavior. U.S. Air Force Research Laboratory, 2010.</w:t>
      </w:r>
    </w:p>
    <w:p w14:paraId="0A45D7F1" w14:textId="77777777" w:rsidR="00FA6ADD" w:rsidRDefault="00000000">
      <w:pPr>
        <w:spacing w:after="24"/>
        <w:ind w:left="312" w:hanging="312"/>
      </w:pPr>
      <w:r>
        <w:rPr>
          <w:rFonts w:eastAsia="Times New Roman" w:cs="Times New Roman"/>
        </w:rPr>
        <w:t>[20] W. D. Miller, K. D. Schmidt, J. R. Estepp, M. A. Bowers y I. Davis, An Updated Version of the U.S. Air Force Multi-Attribute Task Battery (AF-MATB). U.S. Air Force Research Laboratory, 2014, doi: 10.21236/ADA611870.</w:t>
      </w:r>
    </w:p>
    <w:p w14:paraId="347A01D5" w14:textId="77777777" w:rsidR="00FA6ADD" w:rsidRDefault="00000000">
      <w:pPr>
        <w:spacing w:after="24"/>
        <w:ind w:left="312" w:hanging="312"/>
      </w:pPr>
      <w:r>
        <w:rPr>
          <w:rFonts w:eastAsia="Times New Roman" w:cs="Times New Roman"/>
        </w:rPr>
        <w:t>[21] J. Cegarra, B. Valéry, E. Avril, C. Calmettes y J. Navarro, “OpenMATB: A Multi-Attribute Task Battery promoting task customization, software extensibility and experiment replicability,” Behavior Research Methods, vol. 52, pp. 1980–1990, 2020, doi: 10.3758/s13428-020-01364-w.</w:t>
      </w:r>
    </w:p>
    <w:p w14:paraId="47A51495" w14:textId="77777777" w:rsidR="00FA6ADD" w:rsidRDefault="00000000">
      <w:pPr>
        <w:spacing w:after="24"/>
        <w:ind w:left="312" w:hanging="312"/>
      </w:pPr>
      <w:r>
        <w:rPr>
          <w:rFonts w:eastAsia="Times New Roman" w:cs="Times New Roman"/>
        </w:rPr>
        <w:lastRenderedPageBreak/>
        <w:t>[22] J. Vogl, C. D. McCurry, S. Bommer y J. A. Atchley, “The United States Army Aeromedical Research Laboratory Multi-Attribute Task Battery,” Frontiers in Neuroergonomics, vol. 5, art. 1435588, 2024, doi: 10.3389/fnrgo.2024.1435588.</w:t>
      </w:r>
    </w:p>
    <w:p w14:paraId="2313678E" w14:textId="77777777" w:rsidR="00FA6ADD" w:rsidRDefault="00000000">
      <w:pPr>
        <w:spacing w:after="24"/>
        <w:ind w:left="312" w:hanging="312"/>
      </w:pPr>
      <w:r>
        <w:rPr>
          <w:rFonts w:eastAsia="Times New Roman" w:cs="Times New Roman"/>
        </w:rPr>
        <w:t>[23] A. Pontiggia et al., “MATB for assessing different mental workload levels,” Frontiers in Physiology, vol. 15, art. 1408242, 2024, doi: 10.3389/fphys.2024.1408242.</w:t>
      </w:r>
    </w:p>
    <w:p w14:paraId="3A787ABE" w14:textId="77777777" w:rsidR="00FA6ADD" w:rsidRDefault="00000000">
      <w:pPr>
        <w:spacing w:after="24"/>
        <w:ind w:left="312" w:hanging="312"/>
      </w:pPr>
      <w:r>
        <w:rPr>
          <w:rFonts w:eastAsia="Times New Roman" w:cs="Times New Roman"/>
        </w:rPr>
        <w:t>[24] R. A. B. Prasetyo, “The use of multi-attribute task battery in mental workload studies: A scoping review,” SHS Web of Conferences, vol. 189, art. 01043, 2024, doi: 10.1051/shsconf/202418901043.</w:t>
      </w:r>
    </w:p>
    <w:p w14:paraId="3B09A1CB" w14:textId="77777777" w:rsidR="00FA6ADD" w:rsidRDefault="00000000">
      <w:pPr>
        <w:spacing w:after="24"/>
        <w:ind w:left="312" w:hanging="312"/>
      </w:pPr>
      <w:r>
        <w:rPr>
          <w:rFonts w:eastAsia="Times New Roman" w:cs="Times New Roman"/>
        </w:rPr>
        <w:t>[25] J.-N. Chai y Y. Li, “Examining mental workload based on multiple physiological signals: Review of the multi-attribute task battery (MATB) technique,” Medicine in Novel Technology and Devices, vol. 24, art. 100340, 2024, doi: 10.1016/j.medntd.2024.100340.</w:t>
      </w:r>
    </w:p>
    <w:p w14:paraId="7B90A942" w14:textId="77777777" w:rsidR="00FA6ADD" w:rsidRDefault="00000000">
      <w:pPr>
        <w:spacing w:after="24"/>
        <w:ind w:left="312" w:hanging="312"/>
      </w:pPr>
      <w:r>
        <w:rPr>
          <w:rFonts w:eastAsia="Times New Roman" w:cs="Times New Roman"/>
        </w:rPr>
        <w:t>[26] D. Gugerell, B. Gollan, M. Stolte y U. Ansorge, “Studying the role of visuospatial attention in the Multi-Attribute Task Battery II,” Applied Sciences, vol. 14, no. 8, art. 3158, 2024, doi: 10.3390/app14083158.</w:t>
      </w:r>
    </w:p>
    <w:p w14:paraId="77BA31E0" w14:textId="77777777" w:rsidR="00FA6ADD" w:rsidRDefault="00000000">
      <w:pPr>
        <w:spacing w:after="24"/>
        <w:ind w:left="312" w:hanging="312"/>
      </w:pPr>
      <w:r>
        <w:rPr>
          <w:rFonts w:eastAsia="Times New Roman" w:cs="Times New Roman"/>
        </w:rPr>
        <w:t>[27] S. Stader et al., “Effects of display and task features on system monitoring performance in the original Multi-Attribute Task Battery and MATB-II,” Proceedings of the Human Factors and Ergonomics Society Annual Meeting, vol. 57, no. 1, pp. 1435–1439, 2013, doi: 10.1177/1541931213571321.</w:t>
      </w:r>
    </w:p>
    <w:p w14:paraId="3D18439B" w14:textId="77777777" w:rsidR="00FA6ADD" w:rsidRDefault="00000000">
      <w:pPr>
        <w:spacing w:after="24"/>
        <w:ind w:left="312" w:hanging="312"/>
      </w:pPr>
      <w:r>
        <w:rPr>
          <w:rFonts w:eastAsia="Times New Roman" w:cs="Times New Roman"/>
        </w:rPr>
        <w:t>[28] S. G. Hart, “NASA-Task Load Index (NASA-TLX); 20 years later,” Proceedings of the Human Factors and Ergonomics Society Annual Meeting, vol. 50, no. 9, pp. 904–908, 2006, doi: 10.1177/154193120605000909.</w:t>
      </w:r>
    </w:p>
    <w:p w14:paraId="66E65411" w14:textId="77777777" w:rsidR="00FA6ADD" w:rsidRDefault="00000000">
      <w:pPr>
        <w:spacing w:after="24"/>
        <w:ind w:left="312" w:hanging="312"/>
      </w:pPr>
      <w:r>
        <w:rPr>
          <w:rFonts w:eastAsia="Times New Roman" w:cs="Times New Roman"/>
        </w:rPr>
        <w:t>[29] M. R. Endsley, “Measurement of situation awareness in dynamic systems,” Human Factors, vol. 37, no. 1, pp. 65–84, 1995, doi: 10.1518/001872095779049499.</w:t>
      </w:r>
    </w:p>
    <w:p w14:paraId="2D340A4F" w14:textId="77777777" w:rsidR="00FA6ADD" w:rsidRDefault="00000000">
      <w:pPr>
        <w:spacing w:after="24"/>
        <w:ind w:left="312" w:hanging="312"/>
      </w:pPr>
      <w:r>
        <w:rPr>
          <w:rFonts w:eastAsia="Times New Roman" w:cs="Times New Roman"/>
        </w:rPr>
        <w:t>[30] M. Mulder et al., “Manual control cybernetics: State-of-the-art and current trends,” IEEE Transactions on Human-Machine Systems, vol. 48, no. 5, pp. 468–485, 2018, doi: 10.1109/THMS.2017.2761342.</w:t>
      </w:r>
    </w:p>
    <w:p w14:paraId="407C5563" w14:textId="77777777" w:rsidR="00FA6ADD" w:rsidRDefault="00000000">
      <w:pPr>
        <w:spacing w:after="24"/>
        <w:ind w:left="312" w:hanging="312"/>
      </w:pPr>
      <w:r>
        <w:rPr>
          <w:rFonts w:eastAsia="Times New Roman" w:cs="Times New Roman"/>
        </w:rPr>
        <w:t>[31] D. Harris et al., “A framework for the testing and validation of simulated environments in experimentation and training,” Frontiers in Psychology, vol. 11, art. 605, 2020, doi: 10.3389/fpsyg.2020.00605.</w:t>
      </w:r>
    </w:p>
    <w:p w14:paraId="7CE484E3" w14:textId="77777777" w:rsidR="00FA6ADD" w:rsidRDefault="00000000">
      <w:pPr>
        <w:spacing w:after="24"/>
        <w:ind w:left="312" w:hanging="312"/>
      </w:pPr>
      <w:r>
        <w:rPr>
          <w:rFonts w:eastAsia="Times New Roman" w:cs="Times New Roman"/>
        </w:rPr>
        <w:t>[32] Y. Kong et al., “Multi-Attribute Task Battery configuration to effectively assess pilot performance deterioration during prolonged wakefulness,” Informatics in Medicine Unlocked, vol. 28, art. 100822, 2022, doi: 10.1016/j.imu.2021.100822.</w:t>
      </w:r>
    </w:p>
    <w:p w14:paraId="65CAF512" w14:textId="77777777" w:rsidR="00FA6ADD" w:rsidRDefault="00000000">
      <w:pPr>
        <w:spacing w:after="24"/>
        <w:ind w:left="312" w:hanging="312"/>
      </w:pPr>
      <w:r>
        <w:rPr>
          <w:rFonts w:eastAsia="Times New Roman" w:cs="Times New Roman"/>
        </w:rPr>
        <w:t>[33] T. K. Lam, O. Vartanian y J. G. Hollands, “The brain under cognitive workload: Neural networks underlying multitasking performance in the Multi-Attribute Task Battery,” Neuropsychologia, vol. 174, art. 108350, 2022, doi: 10.1016/j.neuropsychologia.2022.108350.</w:t>
      </w:r>
    </w:p>
    <w:p w14:paraId="36289014" w14:textId="77777777" w:rsidR="00FA6ADD" w:rsidRDefault="00000000">
      <w:pPr>
        <w:spacing w:after="24"/>
        <w:ind w:left="312" w:hanging="312"/>
      </w:pPr>
      <w:r>
        <w:rPr>
          <w:rFonts w:eastAsia="Times New Roman" w:cs="Times New Roman"/>
        </w:rPr>
        <w:t>[34] B.-W. Hsu, M.-J. J. Wang, C.-Y. Chen y F. Chen, “Effective indices for monitoring mental workload while performing multiple tasks,” Perceptual and Motor Skills, vol. 121, no. 1, pp. 94–117, 2015, doi: 10.2466/22.PMS.121c12x5.</w:t>
      </w:r>
    </w:p>
    <w:p w14:paraId="4D2C0F41" w14:textId="77777777" w:rsidR="00FA6ADD" w:rsidRDefault="00000000">
      <w:pPr>
        <w:spacing w:after="24"/>
        <w:ind w:left="312" w:hanging="312"/>
      </w:pPr>
      <w:r>
        <w:rPr>
          <w:rFonts w:eastAsia="Times New Roman" w:cs="Times New Roman"/>
        </w:rPr>
        <w:t>[35] J. Nixon y R. Charles, “Understanding the human performance envelope using electrophysiological measures from wearable technology,” Cognition, Technology &amp; Work, vol. 19, pp. 655–666, 2017, doi: 10.1007/s10111-017-0431-5.</w:t>
      </w:r>
    </w:p>
    <w:p w14:paraId="2E520F19" w14:textId="77777777" w:rsidR="00FA6ADD" w:rsidRDefault="00000000">
      <w:pPr>
        <w:spacing w:after="24"/>
        <w:ind w:left="312" w:hanging="312"/>
      </w:pPr>
      <w:r>
        <w:rPr>
          <w:rFonts w:eastAsia="Times New Roman" w:cs="Times New Roman"/>
        </w:rPr>
        <w:t>[36] L. Planke, A. Gardi, R. Sabatini, T. Kistan y N. Ezer, “Online multimodal inference of mental workload for cognitive human–machine systems,” Computers, vol. 10, no. 6, art. 81, 2021, doi: 10.3390/computers10060081.</w:t>
      </w:r>
    </w:p>
    <w:p w14:paraId="1D1A0DCC" w14:textId="77777777" w:rsidR="00FA6ADD" w:rsidRDefault="00000000">
      <w:pPr>
        <w:spacing w:after="24"/>
        <w:ind w:left="312" w:hanging="312"/>
      </w:pPr>
      <w:r>
        <w:rPr>
          <w:rFonts w:eastAsia="Times New Roman" w:cs="Times New Roman"/>
        </w:rPr>
        <w:t>[37] S. Laborde, E. Mosley y J. F. Thayer, “Heart rate variability and cardiac vagal tone in psychophysiological research: Recommendations for experiment planning, data analysis, and data reporting,” Frontiers in Psychology, vol. 8, art. 213, 2017, doi: 10.3389/fpsyg.2017.00213.</w:t>
      </w:r>
    </w:p>
    <w:p w14:paraId="0B900B2D" w14:textId="77777777" w:rsidR="00FA6ADD" w:rsidRDefault="00000000">
      <w:pPr>
        <w:spacing w:after="24"/>
        <w:ind w:left="312" w:hanging="312"/>
      </w:pPr>
      <w:r>
        <w:rPr>
          <w:rFonts w:eastAsia="Times New Roman" w:cs="Times New Roman"/>
        </w:rPr>
        <w:t>[38] Task Force of the European Society of Cardiology and the North American Society of Pacing and Electrophysiology, “Heart rate variability: Standards of measurement, physiological interpretation, and clinical use,” Circulation, vol. 93, no. 5, pp. 1043–1065, 1996, doi: 10.1161/01.CIR.93.5.1043.</w:t>
      </w:r>
    </w:p>
    <w:p w14:paraId="30097C70" w14:textId="77777777" w:rsidR="00FA6ADD" w:rsidRDefault="00000000">
      <w:pPr>
        <w:spacing w:after="24"/>
        <w:ind w:left="312" w:hanging="312"/>
      </w:pPr>
      <w:r>
        <w:rPr>
          <w:rFonts w:eastAsia="Times New Roman" w:cs="Times New Roman"/>
        </w:rPr>
        <w:t>[39] K. S. Quigley, P. J. Gianaros, G. J. Norman, J. R. Jennings, G. G. Berntson y E. J. C. de Geus, “Publication guidelines for human heart rate and heart rate variability studies in psychophysiology—Part 1: Physiological underpinnings and foundations of measurement,” Psychophysiology, vol. 61, no. 9, e14604, 2024, doi: 10.1111/psyp.14604.</w:t>
      </w:r>
    </w:p>
    <w:p w14:paraId="76F7AC47" w14:textId="77777777" w:rsidR="00FA6ADD" w:rsidRDefault="00000000">
      <w:pPr>
        <w:spacing w:after="24"/>
        <w:ind w:left="312" w:hanging="312"/>
      </w:pPr>
      <w:r>
        <w:rPr>
          <w:rFonts w:eastAsia="Times New Roman" w:cs="Times New Roman"/>
        </w:rPr>
        <w:t>[40] E. Avril et al., “Automation type and reliability impact on visual automation monitoring and human performance,” International Journal of Human–Computer Interaction, pp. 64–77, 2021, doi: 10.1080/10447318.2021.1925435.</w:t>
      </w:r>
    </w:p>
    <w:p w14:paraId="16990699" w14:textId="77777777" w:rsidR="00FA6ADD" w:rsidRDefault="00000000">
      <w:pPr>
        <w:spacing w:after="24"/>
        <w:ind w:left="312" w:hanging="312"/>
      </w:pPr>
      <w:r>
        <w:rPr>
          <w:rFonts w:eastAsia="Times New Roman" w:cs="Times New Roman"/>
        </w:rPr>
        <w:t>[41] M. A. Bowers, J. Christensen y T. A. Eggemeier, “The effects of workload transitions in a multitasking environment,” Proceedings of the Human Factors and Ergonomics Society Annual Meeting, vol. 58, no. 1, pp. 220–224, 2014, doi: 10.1177/1541931214581046.</w:t>
      </w:r>
    </w:p>
    <w:p w14:paraId="079ED727" w14:textId="77777777" w:rsidR="00FA6ADD" w:rsidRDefault="00000000">
      <w:pPr>
        <w:spacing w:after="24"/>
        <w:ind w:left="312" w:hanging="312"/>
      </w:pPr>
      <w:r>
        <w:rPr>
          <w:rFonts w:eastAsia="Times New Roman" w:cs="Times New Roman"/>
        </w:rPr>
        <w:t>[42] L. R. Fournier, G. F. Wilson y C. R. Swain, “Electrophysiological, behavioral, and subjective indexes of workload when performing multiple tasks: Manipulations of task difficulty and training,” International Journal of Psychophysiology, vol. 31, no. 2, pp. 129–145, 1999, doi: 10.1016/S0167-8760(98)00049-X.</w:t>
      </w:r>
    </w:p>
    <w:p w14:paraId="73B0B627" w14:textId="77777777" w:rsidR="00FA6ADD" w:rsidRDefault="00000000">
      <w:pPr>
        <w:spacing w:after="24"/>
        <w:ind w:left="312" w:hanging="312"/>
      </w:pPr>
      <w:r>
        <w:rPr>
          <w:rFonts w:eastAsia="Times New Roman" w:cs="Times New Roman"/>
        </w:rPr>
        <w:t>[43] C. D. Wickens, S. R. Dixon y D. Chang, Using Interference Models to Predict Performance in a Multiple-Task UAV Environment—2 UAVs. Technical report, 2003, doi: 10.21236/ADA496812.</w:t>
      </w:r>
    </w:p>
    <w:p w14:paraId="5D48DED7" w14:textId="77777777" w:rsidR="00FA6ADD" w:rsidRDefault="00000000">
      <w:pPr>
        <w:spacing w:after="24"/>
        <w:ind w:left="312" w:hanging="312"/>
      </w:pPr>
      <w:r>
        <w:rPr>
          <w:rFonts w:eastAsia="Times New Roman" w:cs="Times New Roman"/>
        </w:rPr>
        <w:lastRenderedPageBreak/>
        <w:t>[44] C. D. McCurry, J. Vogl, A. Atchley, L. A. Temme y S. Bommer, “A MATB operator scoring methodology for cognitive workload estimations,” en NAECON 2025—IEEE National Aerospace and Electronics Conference, pp. 1–7, 2025, doi: 10.1109/NAECON65708.2025.11235463.</w:t>
      </w:r>
    </w:p>
    <w:p w14:paraId="4F99D4DE" w14:textId="77777777" w:rsidR="00FA6ADD" w:rsidRDefault="00000000">
      <w:pPr>
        <w:spacing w:after="24"/>
        <w:ind w:left="312" w:hanging="312"/>
      </w:pPr>
      <w:r>
        <w:rPr>
          <w:rFonts w:eastAsia="Times New Roman" w:cs="Times New Roman"/>
        </w:rPr>
        <w:t>[45] D. L. Malpica, MATB Research Platform, versión 0.1.0-development, commit d9f0882c6ef681a26fe0ca9fd6198c6c94ca420f, repositorio GitHub, 3 sep. 2026.</w:t>
      </w:r>
    </w:p>
    <w:p w14:paraId="5B881EAA" w14:textId="77777777" w:rsidR="00FA6ADD" w:rsidRPr="004A2C8D" w:rsidRDefault="00000000">
      <w:pPr>
        <w:spacing w:after="24"/>
        <w:ind w:left="312" w:hanging="312"/>
        <w:rPr>
          <w:lang w:val="es-CO"/>
        </w:rPr>
      </w:pPr>
      <w:r w:rsidRPr="004A2C8D">
        <w:rPr>
          <w:rFonts w:eastAsia="Times New Roman" w:cs="Times New Roman"/>
          <w:lang w:val="es-CO"/>
        </w:rPr>
        <w:t>[46] D. L. Malpica, “</w:t>
      </w:r>
      <w:proofErr w:type="spellStart"/>
      <w:r w:rsidRPr="004A2C8D">
        <w:rPr>
          <w:rFonts w:eastAsia="Times New Roman" w:cs="Times New Roman"/>
          <w:lang w:val="es-CO"/>
        </w:rPr>
        <w:t>Liftoff</w:t>
      </w:r>
      <w:proofErr w:type="spellEnd"/>
      <w:r w:rsidRPr="004A2C8D">
        <w:rPr>
          <w:rFonts w:eastAsia="Times New Roman" w:cs="Times New Roman"/>
          <w:lang w:val="es-CO"/>
        </w:rPr>
        <w:t xml:space="preserve">–ASTRA </w:t>
      </w:r>
      <w:proofErr w:type="spellStart"/>
      <w:r w:rsidRPr="004A2C8D">
        <w:rPr>
          <w:rFonts w:eastAsia="Times New Roman" w:cs="Times New Roman"/>
          <w:lang w:val="es-CO"/>
        </w:rPr>
        <w:t>Research</w:t>
      </w:r>
      <w:proofErr w:type="spellEnd"/>
      <w:r w:rsidRPr="004A2C8D">
        <w:rPr>
          <w:rFonts w:eastAsia="Times New Roman" w:cs="Times New Roman"/>
          <w:lang w:val="es-CO"/>
        </w:rPr>
        <w:t xml:space="preserve"> </w:t>
      </w:r>
      <w:proofErr w:type="spellStart"/>
      <w:r w:rsidRPr="004A2C8D">
        <w:rPr>
          <w:rFonts w:eastAsia="Times New Roman" w:cs="Times New Roman"/>
          <w:lang w:val="es-CO"/>
        </w:rPr>
        <w:t>Integration</w:t>
      </w:r>
      <w:proofErr w:type="spellEnd"/>
      <w:r w:rsidRPr="004A2C8D">
        <w:rPr>
          <w:rFonts w:eastAsia="Times New Roman" w:cs="Times New Roman"/>
          <w:lang w:val="es-CO"/>
        </w:rPr>
        <w:t xml:space="preserve"> </w:t>
      </w:r>
      <w:proofErr w:type="spellStart"/>
      <w:r w:rsidRPr="004A2C8D">
        <w:rPr>
          <w:rFonts w:eastAsia="Times New Roman" w:cs="Times New Roman"/>
          <w:lang w:val="es-CO"/>
        </w:rPr>
        <w:t>Design</w:t>
      </w:r>
      <w:proofErr w:type="spellEnd"/>
      <w:r w:rsidRPr="004A2C8D">
        <w:rPr>
          <w:rFonts w:eastAsia="Times New Roman" w:cs="Times New Roman"/>
          <w:lang w:val="es-CO"/>
        </w:rPr>
        <w:t>,” documentación del repositorio MATB, versión aprobada, 17 ago. 2026.</w:t>
      </w:r>
    </w:p>
    <w:p w14:paraId="100D4DAE" w14:textId="77777777" w:rsidR="00FA6ADD" w:rsidRPr="004A2C8D" w:rsidRDefault="00000000">
      <w:pPr>
        <w:spacing w:after="24"/>
        <w:ind w:left="312" w:hanging="312"/>
        <w:rPr>
          <w:lang w:val="es-CO"/>
        </w:rPr>
      </w:pPr>
      <w:r w:rsidRPr="004A2C8D">
        <w:rPr>
          <w:rFonts w:eastAsia="Times New Roman" w:cs="Times New Roman"/>
          <w:lang w:val="es-CO"/>
        </w:rPr>
        <w:t xml:space="preserve">[47] D. L. Malpica, “MATB </w:t>
      </w:r>
      <w:proofErr w:type="spellStart"/>
      <w:r w:rsidRPr="004A2C8D">
        <w:rPr>
          <w:rFonts w:eastAsia="Times New Roman" w:cs="Times New Roman"/>
          <w:lang w:val="es-CO"/>
        </w:rPr>
        <w:t>scientific</w:t>
      </w:r>
      <w:proofErr w:type="spellEnd"/>
      <w:r w:rsidRPr="004A2C8D">
        <w:rPr>
          <w:rFonts w:eastAsia="Times New Roman" w:cs="Times New Roman"/>
          <w:lang w:val="es-CO"/>
        </w:rPr>
        <w:t xml:space="preserve"> </w:t>
      </w:r>
      <w:proofErr w:type="spellStart"/>
      <w:r w:rsidRPr="004A2C8D">
        <w:rPr>
          <w:rFonts w:eastAsia="Times New Roman" w:cs="Times New Roman"/>
          <w:lang w:val="es-CO"/>
        </w:rPr>
        <w:t>foundation</w:t>
      </w:r>
      <w:proofErr w:type="spellEnd"/>
      <w:r w:rsidRPr="004A2C8D">
        <w:rPr>
          <w:rFonts w:eastAsia="Times New Roman" w:cs="Times New Roman"/>
          <w:lang w:val="es-CO"/>
        </w:rPr>
        <w:t xml:space="preserve"> v2,” documentación del repositorio MATB, 30 ago. 2026.</w:t>
      </w:r>
    </w:p>
    <w:p w14:paraId="6969D198" w14:textId="77777777" w:rsidR="00FA6ADD" w:rsidRDefault="00000000">
      <w:pPr>
        <w:spacing w:after="24"/>
        <w:ind w:left="312" w:hanging="312"/>
        <w:rPr>
          <w:rFonts w:eastAsia="Times New Roman" w:cs="Times New Roman"/>
          <w:lang w:val="es-CO"/>
        </w:rPr>
      </w:pPr>
      <w:r w:rsidRPr="004A2C8D">
        <w:rPr>
          <w:rFonts w:eastAsia="Times New Roman" w:cs="Times New Roman"/>
          <w:lang w:val="es-CO"/>
        </w:rPr>
        <w:t xml:space="preserve">[48] D. L. Malpica, “MATB v1 </w:t>
      </w:r>
      <w:proofErr w:type="spellStart"/>
      <w:r w:rsidRPr="004A2C8D">
        <w:rPr>
          <w:rFonts w:eastAsia="Times New Roman" w:cs="Times New Roman"/>
          <w:lang w:val="es-CO"/>
        </w:rPr>
        <w:t>qualification</w:t>
      </w:r>
      <w:proofErr w:type="spellEnd"/>
      <w:r w:rsidRPr="004A2C8D">
        <w:rPr>
          <w:rFonts w:eastAsia="Times New Roman" w:cs="Times New Roman"/>
          <w:lang w:val="es-CO"/>
        </w:rPr>
        <w:t xml:space="preserve"> </w:t>
      </w:r>
      <w:proofErr w:type="spellStart"/>
      <w:r w:rsidRPr="004A2C8D">
        <w:rPr>
          <w:rFonts w:eastAsia="Times New Roman" w:cs="Times New Roman"/>
          <w:lang w:val="es-CO"/>
        </w:rPr>
        <w:t>workflow</w:t>
      </w:r>
      <w:proofErr w:type="spellEnd"/>
      <w:r w:rsidRPr="004A2C8D">
        <w:rPr>
          <w:rFonts w:eastAsia="Times New Roman" w:cs="Times New Roman"/>
          <w:lang w:val="es-CO"/>
        </w:rPr>
        <w:t>,” documentación del repositorio MATB, 30 ago. 2026.</w:t>
      </w:r>
    </w:p>
    <w:p w14:paraId="22CA4A07" w14:textId="77777777" w:rsidR="00EF07F0" w:rsidRDefault="00EF07F0">
      <w:pPr>
        <w:spacing w:after="24"/>
        <w:ind w:left="312" w:hanging="312"/>
        <w:rPr>
          <w:rFonts w:eastAsia="Times New Roman" w:cs="Times New Roman"/>
          <w:lang w:val="es-CO"/>
        </w:rPr>
      </w:pPr>
    </w:p>
    <w:p w14:paraId="5DF052B6" w14:textId="77777777" w:rsidR="00EF07F0" w:rsidRPr="004A2C8D" w:rsidRDefault="00EF07F0">
      <w:pPr>
        <w:spacing w:after="24"/>
        <w:ind w:left="312" w:hanging="312"/>
        <w:rPr>
          <w:lang w:val="es-CO"/>
        </w:rPr>
      </w:pPr>
    </w:p>
    <w:p w14:paraId="1B9A95B4" w14:textId="77777777" w:rsidR="00FA6ADD" w:rsidRPr="004A2C8D" w:rsidRDefault="00000000">
      <w:pPr>
        <w:pStyle w:val="Heading1"/>
        <w:spacing w:before="120" w:after="40"/>
        <w:rPr>
          <w:lang w:val="es-CO"/>
        </w:rPr>
      </w:pPr>
      <w:r w:rsidRPr="004A2C8D">
        <w:rPr>
          <w:rFonts w:ascii="Times New Roman" w:eastAsia="Times New Roman" w:hAnsi="Times New Roman" w:cs="Times New Roman"/>
          <w:sz w:val="20"/>
          <w:lang w:val="es-CO"/>
        </w:rPr>
        <w:t>Apéndice I. Lista mínima de configuración y reporte</w:t>
      </w:r>
    </w:p>
    <w:p w14:paraId="146DD9EF" w14:textId="77777777" w:rsidR="00FA6ADD" w:rsidRPr="004A2C8D" w:rsidRDefault="00000000">
      <w:pPr>
        <w:spacing w:after="60"/>
        <w:jc w:val="both"/>
        <w:rPr>
          <w:lang w:val="es-CO"/>
        </w:rPr>
      </w:pPr>
      <w:r w:rsidRPr="004A2C8D">
        <w:rPr>
          <w:rFonts w:eastAsia="Times New Roman" w:cs="Times New Roman"/>
          <w:lang w:val="es-CO"/>
        </w:rPr>
        <w:t>La siguiente lista operacionaliza la reproducibilidad del estudio. Los elementos deben acompañar cada conjunto de datos y toda publicación derivada, incluso cuando el resultado sea nulo o desfavorable.</w:t>
      </w:r>
    </w:p>
    <w:p w14:paraId="554E5A7F" w14:textId="77777777" w:rsidR="00FA6ADD" w:rsidRPr="004A2C8D" w:rsidRDefault="00000000">
      <w:pPr>
        <w:keepNext/>
        <w:keepLines/>
        <w:spacing w:before="80" w:after="40"/>
        <w:rPr>
          <w:lang w:val="es-CO"/>
        </w:rPr>
      </w:pPr>
      <w:r w:rsidRPr="004A2C8D">
        <w:rPr>
          <w:rFonts w:eastAsia="Times New Roman" w:cs="Times New Roman"/>
          <w:b/>
          <w:sz w:val="16"/>
          <w:lang w:val="es-CO"/>
        </w:rPr>
        <w:t>Tabla 5. Elementos mínimos para replicación y auditoría</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1701"/>
        <w:gridCol w:w="4592"/>
        <w:gridCol w:w="2835"/>
      </w:tblGrid>
      <w:tr w:rsidR="00FA6ADD" w14:paraId="3D66A777" w14:textId="77777777">
        <w:trPr>
          <w:cantSplit/>
          <w:tblHeader/>
          <w:jc w:val="center"/>
        </w:trPr>
        <w:tc>
          <w:tcPr>
            <w:tcW w:w="1701" w:type="dxa"/>
            <w:shd w:val="clear" w:color="auto" w:fill="D0D0D0"/>
            <w:tcMar>
              <w:top w:w="50" w:type="dxa"/>
              <w:left w:w="70" w:type="dxa"/>
              <w:bottom w:w="50" w:type="dxa"/>
              <w:right w:w="70" w:type="dxa"/>
            </w:tcMar>
            <w:vAlign w:val="center"/>
          </w:tcPr>
          <w:p w14:paraId="39F2AE93" w14:textId="77777777" w:rsidR="00FA6ADD" w:rsidRDefault="00000000">
            <w:pPr>
              <w:keepLines/>
              <w:jc w:val="center"/>
            </w:pPr>
            <w:r>
              <w:rPr>
                <w:rFonts w:eastAsia="Times New Roman" w:cs="Times New Roman"/>
                <w:b/>
                <w:sz w:val="15"/>
              </w:rPr>
              <w:t>Dominio</w:t>
            </w:r>
          </w:p>
        </w:tc>
        <w:tc>
          <w:tcPr>
            <w:tcW w:w="4592" w:type="dxa"/>
            <w:shd w:val="clear" w:color="auto" w:fill="D0D0D0"/>
            <w:tcMar>
              <w:top w:w="50" w:type="dxa"/>
              <w:left w:w="70" w:type="dxa"/>
              <w:bottom w:w="50" w:type="dxa"/>
              <w:right w:w="70" w:type="dxa"/>
            </w:tcMar>
            <w:vAlign w:val="center"/>
          </w:tcPr>
          <w:p w14:paraId="2E202195" w14:textId="77777777" w:rsidR="00FA6ADD" w:rsidRPr="004A2C8D" w:rsidRDefault="00000000">
            <w:pPr>
              <w:keepLines/>
              <w:jc w:val="center"/>
              <w:rPr>
                <w:lang w:val="es-CO"/>
              </w:rPr>
            </w:pPr>
            <w:r w:rsidRPr="004A2C8D">
              <w:rPr>
                <w:rFonts w:eastAsia="Times New Roman" w:cs="Times New Roman"/>
                <w:b/>
                <w:sz w:val="15"/>
                <w:lang w:val="es-CO"/>
              </w:rPr>
              <w:t>Elementos mínimos que deben registrarse</w:t>
            </w:r>
          </w:p>
        </w:tc>
        <w:tc>
          <w:tcPr>
            <w:tcW w:w="2835" w:type="dxa"/>
            <w:shd w:val="clear" w:color="auto" w:fill="D0D0D0"/>
            <w:tcMar>
              <w:top w:w="50" w:type="dxa"/>
              <w:left w:w="70" w:type="dxa"/>
              <w:bottom w:w="50" w:type="dxa"/>
              <w:right w:w="70" w:type="dxa"/>
            </w:tcMar>
            <w:vAlign w:val="center"/>
          </w:tcPr>
          <w:p w14:paraId="21B5255A" w14:textId="77777777" w:rsidR="00FA6ADD" w:rsidRDefault="00000000">
            <w:pPr>
              <w:keepLines/>
              <w:jc w:val="center"/>
            </w:pPr>
            <w:r>
              <w:rPr>
                <w:rFonts w:eastAsia="Times New Roman" w:cs="Times New Roman"/>
                <w:b/>
                <w:sz w:val="15"/>
              </w:rPr>
              <w:t xml:space="preserve">Razón </w:t>
            </w:r>
            <w:proofErr w:type="spellStart"/>
            <w:r>
              <w:rPr>
                <w:rFonts w:eastAsia="Times New Roman" w:cs="Times New Roman"/>
                <w:b/>
                <w:sz w:val="15"/>
              </w:rPr>
              <w:t>científica</w:t>
            </w:r>
            <w:proofErr w:type="spellEnd"/>
          </w:p>
        </w:tc>
      </w:tr>
      <w:tr w:rsidR="00FA6ADD" w:rsidRPr="004A2C8D" w14:paraId="143D429E" w14:textId="77777777">
        <w:trPr>
          <w:cantSplit/>
          <w:jc w:val="center"/>
        </w:trPr>
        <w:tc>
          <w:tcPr>
            <w:tcW w:w="1701" w:type="dxa"/>
            <w:tcMar>
              <w:top w:w="50" w:type="dxa"/>
              <w:left w:w="70" w:type="dxa"/>
              <w:bottom w:w="50" w:type="dxa"/>
              <w:right w:w="70" w:type="dxa"/>
            </w:tcMar>
          </w:tcPr>
          <w:p w14:paraId="26335BCB" w14:textId="77777777" w:rsidR="00FA6ADD" w:rsidRDefault="00000000">
            <w:r>
              <w:rPr>
                <w:rFonts w:eastAsia="Times New Roman" w:cs="Times New Roman"/>
                <w:sz w:val="15"/>
              </w:rPr>
              <w:t>Versión de software</w:t>
            </w:r>
          </w:p>
        </w:tc>
        <w:tc>
          <w:tcPr>
            <w:tcW w:w="4592" w:type="dxa"/>
            <w:tcMar>
              <w:top w:w="50" w:type="dxa"/>
              <w:left w:w="70" w:type="dxa"/>
              <w:bottom w:w="50" w:type="dxa"/>
              <w:right w:w="70" w:type="dxa"/>
            </w:tcMar>
          </w:tcPr>
          <w:p w14:paraId="1B55533D" w14:textId="77777777" w:rsidR="00FA6ADD" w:rsidRPr="004A2C8D" w:rsidRDefault="00000000">
            <w:pPr>
              <w:rPr>
                <w:lang w:val="es-CO"/>
              </w:rPr>
            </w:pPr>
            <w:r w:rsidRPr="004A2C8D">
              <w:rPr>
                <w:rFonts w:eastAsia="Times New Roman" w:cs="Times New Roman"/>
                <w:sz w:val="15"/>
                <w:lang w:val="es-CO"/>
              </w:rPr>
              <w:t xml:space="preserve">Versión, </w:t>
            </w:r>
            <w:proofErr w:type="spellStart"/>
            <w:r w:rsidRPr="004A2C8D">
              <w:rPr>
                <w:rFonts w:eastAsia="Times New Roman" w:cs="Times New Roman"/>
                <w:sz w:val="15"/>
                <w:lang w:val="es-CO"/>
              </w:rPr>
              <w:t>commit</w:t>
            </w:r>
            <w:proofErr w:type="spellEnd"/>
            <w:r w:rsidRPr="004A2C8D">
              <w:rPr>
                <w:rFonts w:eastAsia="Times New Roman" w:cs="Times New Roman"/>
                <w:sz w:val="15"/>
                <w:lang w:val="es-CO"/>
              </w:rPr>
              <w:t>, fecha, dependencias, licencia y estado de calificación</w:t>
            </w:r>
          </w:p>
        </w:tc>
        <w:tc>
          <w:tcPr>
            <w:tcW w:w="2835" w:type="dxa"/>
            <w:tcMar>
              <w:top w:w="50" w:type="dxa"/>
              <w:left w:w="70" w:type="dxa"/>
              <w:bottom w:w="50" w:type="dxa"/>
              <w:right w:w="70" w:type="dxa"/>
            </w:tcMar>
          </w:tcPr>
          <w:p w14:paraId="3367127E" w14:textId="77777777" w:rsidR="00FA6ADD" w:rsidRPr="004A2C8D" w:rsidRDefault="00000000">
            <w:pPr>
              <w:rPr>
                <w:lang w:val="es-CO"/>
              </w:rPr>
            </w:pPr>
            <w:r w:rsidRPr="004A2C8D">
              <w:rPr>
                <w:rFonts w:eastAsia="Times New Roman" w:cs="Times New Roman"/>
                <w:sz w:val="15"/>
                <w:lang w:val="es-CO"/>
              </w:rPr>
              <w:t>Permite reconstruir el entorno y limitar la inferencia a la versión evaluada</w:t>
            </w:r>
          </w:p>
        </w:tc>
      </w:tr>
      <w:tr w:rsidR="00FA6ADD" w:rsidRPr="004A2C8D" w14:paraId="7E5AA81C" w14:textId="77777777">
        <w:trPr>
          <w:cantSplit/>
          <w:jc w:val="center"/>
        </w:trPr>
        <w:tc>
          <w:tcPr>
            <w:tcW w:w="1701" w:type="dxa"/>
            <w:shd w:val="clear" w:color="auto" w:fill="F2F2F2"/>
            <w:tcMar>
              <w:top w:w="50" w:type="dxa"/>
              <w:left w:w="70" w:type="dxa"/>
              <w:bottom w:w="50" w:type="dxa"/>
              <w:right w:w="70" w:type="dxa"/>
            </w:tcMar>
          </w:tcPr>
          <w:p w14:paraId="0D316EE2" w14:textId="77777777" w:rsidR="00FA6ADD" w:rsidRDefault="00000000">
            <w:r>
              <w:rPr>
                <w:rFonts w:eastAsia="Times New Roman" w:cs="Times New Roman"/>
                <w:sz w:val="15"/>
              </w:rPr>
              <w:t>Equipo</w:t>
            </w:r>
          </w:p>
        </w:tc>
        <w:tc>
          <w:tcPr>
            <w:tcW w:w="4592" w:type="dxa"/>
            <w:shd w:val="clear" w:color="auto" w:fill="F2F2F2"/>
            <w:tcMar>
              <w:top w:w="50" w:type="dxa"/>
              <w:left w:w="70" w:type="dxa"/>
              <w:bottom w:w="50" w:type="dxa"/>
              <w:right w:w="70" w:type="dxa"/>
            </w:tcMar>
          </w:tcPr>
          <w:p w14:paraId="3C779284" w14:textId="77777777" w:rsidR="00FA6ADD" w:rsidRPr="004A2C8D" w:rsidRDefault="00000000">
            <w:pPr>
              <w:rPr>
                <w:lang w:val="es-CO"/>
              </w:rPr>
            </w:pPr>
            <w:r w:rsidRPr="004A2C8D">
              <w:rPr>
                <w:rFonts w:eastAsia="Times New Roman" w:cs="Times New Roman"/>
                <w:sz w:val="15"/>
                <w:lang w:val="es-CO"/>
              </w:rPr>
              <w:t>CPU/GPU, sistema operativo, resolución, frecuencia de refresco, audio y periféricos</w:t>
            </w:r>
          </w:p>
        </w:tc>
        <w:tc>
          <w:tcPr>
            <w:tcW w:w="2835" w:type="dxa"/>
            <w:shd w:val="clear" w:color="auto" w:fill="F2F2F2"/>
            <w:tcMar>
              <w:top w:w="50" w:type="dxa"/>
              <w:left w:w="70" w:type="dxa"/>
              <w:bottom w:w="50" w:type="dxa"/>
              <w:right w:w="70" w:type="dxa"/>
            </w:tcMar>
          </w:tcPr>
          <w:p w14:paraId="523CB78E" w14:textId="77777777" w:rsidR="00FA6ADD" w:rsidRPr="004A2C8D" w:rsidRDefault="00000000">
            <w:pPr>
              <w:rPr>
                <w:lang w:val="es-CO"/>
              </w:rPr>
            </w:pPr>
            <w:r w:rsidRPr="004A2C8D">
              <w:rPr>
                <w:rFonts w:eastAsia="Times New Roman" w:cs="Times New Roman"/>
                <w:sz w:val="15"/>
                <w:lang w:val="es-CO"/>
              </w:rPr>
              <w:t>Controla fuentes de latencia y diferencias entre instalaciones</w:t>
            </w:r>
          </w:p>
        </w:tc>
      </w:tr>
      <w:tr w:rsidR="00FA6ADD" w:rsidRPr="004A2C8D" w14:paraId="1FF0CFFB" w14:textId="77777777">
        <w:trPr>
          <w:cantSplit/>
          <w:jc w:val="center"/>
        </w:trPr>
        <w:tc>
          <w:tcPr>
            <w:tcW w:w="1701" w:type="dxa"/>
            <w:tcMar>
              <w:top w:w="50" w:type="dxa"/>
              <w:left w:w="70" w:type="dxa"/>
              <w:bottom w:w="50" w:type="dxa"/>
              <w:right w:w="70" w:type="dxa"/>
            </w:tcMar>
          </w:tcPr>
          <w:p w14:paraId="76F03F17" w14:textId="77777777" w:rsidR="00FA6ADD" w:rsidRDefault="00000000">
            <w:proofErr w:type="spellStart"/>
            <w:r>
              <w:rPr>
                <w:rFonts w:eastAsia="Times New Roman" w:cs="Times New Roman"/>
                <w:sz w:val="15"/>
              </w:rPr>
              <w:t>OpenMATB</w:t>
            </w:r>
            <w:proofErr w:type="spellEnd"/>
          </w:p>
        </w:tc>
        <w:tc>
          <w:tcPr>
            <w:tcW w:w="4592" w:type="dxa"/>
            <w:tcMar>
              <w:top w:w="50" w:type="dxa"/>
              <w:left w:w="70" w:type="dxa"/>
              <w:bottom w:w="50" w:type="dxa"/>
              <w:right w:w="70" w:type="dxa"/>
            </w:tcMar>
          </w:tcPr>
          <w:p w14:paraId="79B15E8C" w14:textId="77777777" w:rsidR="00FA6ADD" w:rsidRPr="004A2C8D" w:rsidRDefault="00000000">
            <w:pPr>
              <w:rPr>
                <w:lang w:val="es-CO"/>
              </w:rPr>
            </w:pPr>
            <w:r w:rsidRPr="004A2C8D">
              <w:rPr>
                <w:rFonts w:eastAsia="Times New Roman" w:cs="Times New Roman"/>
                <w:sz w:val="15"/>
                <w:lang w:val="es-CO"/>
              </w:rPr>
              <w:t>Perfil, hash del escenario, subtareas, tasas de eventos, duración, entrenamiento y automatización</w:t>
            </w:r>
          </w:p>
        </w:tc>
        <w:tc>
          <w:tcPr>
            <w:tcW w:w="2835" w:type="dxa"/>
            <w:tcMar>
              <w:top w:w="50" w:type="dxa"/>
              <w:left w:w="70" w:type="dxa"/>
              <w:bottom w:w="50" w:type="dxa"/>
              <w:right w:w="70" w:type="dxa"/>
            </w:tcMar>
          </w:tcPr>
          <w:p w14:paraId="2485112E" w14:textId="77777777" w:rsidR="00FA6ADD" w:rsidRPr="004A2C8D" w:rsidRDefault="00000000">
            <w:pPr>
              <w:rPr>
                <w:lang w:val="es-CO"/>
              </w:rPr>
            </w:pPr>
            <w:r w:rsidRPr="004A2C8D">
              <w:rPr>
                <w:rFonts w:eastAsia="Times New Roman" w:cs="Times New Roman"/>
                <w:sz w:val="15"/>
                <w:lang w:val="es-CO"/>
              </w:rPr>
              <w:t>Hace comparables la demanda y las oportunidades de respuesta</w:t>
            </w:r>
          </w:p>
        </w:tc>
      </w:tr>
      <w:tr w:rsidR="00FA6ADD" w:rsidRPr="004A2C8D" w14:paraId="0BB79FE5" w14:textId="77777777">
        <w:trPr>
          <w:cantSplit/>
          <w:jc w:val="center"/>
        </w:trPr>
        <w:tc>
          <w:tcPr>
            <w:tcW w:w="1701" w:type="dxa"/>
            <w:shd w:val="clear" w:color="auto" w:fill="F2F2F2"/>
            <w:tcMar>
              <w:top w:w="50" w:type="dxa"/>
              <w:left w:w="70" w:type="dxa"/>
              <w:bottom w:w="50" w:type="dxa"/>
              <w:right w:w="70" w:type="dxa"/>
            </w:tcMar>
          </w:tcPr>
          <w:p w14:paraId="7467817C" w14:textId="77777777" w:rsidR="00FA6ADD" w:rsidRDefault="00000000">
            <w:r>
              <w:rPr>
                <w:rFonts w:eastAsia="Times New Roman" w:cs="Times New Roman"/>
                <w:sz w:val="15"/>
              </w:rPr>
              <w:t>Liftoff</w:t>
            </w:r>
          </w:p>
        </w:tc>
        <w:tc>
          <w:tcPr>
            <w:tcW w:w="4592" w:type="dxa"/>
            <w:shd w:val="clear" w:color="auto" w:fill="F2F2F2"/>
            <w:tcMar>
              <w:top w:w="50" w:type="dxa"/>
              <w:left w:w="70" w:type="dxa"/>
              <w:bottom w:w="50" w:type="dxa"/>
              <w:right w:w="70" w:type="dxa"/>
            </w:tcMar>
          </w:tcPr>
          <w:p w14:paraId="41DF5FD1" w14:textId="77777777" w:rsidR="00FA6ADD" w:rsidRPr="004A2C8D" w:rsidRDefault="00000000">
            <w:pPr>
              <w:rPr>
                <w:lang w:val="es-CO"/>
              </w:rPr>
            </w:pPr>
            <w:proofErr w:type="spellStart"/>
            <w:r w:rsidRPr="004A2C8D">
              <w:rPr>
                <w:rFonts w:eastAsia="Times New Roman" w:cs="Times New Roman"/>
                <w:sz w:val="15"/>
                <w:lang w:val="es-CO"/>
              </w:rPr>
              <w:t>Build</w:t>
            </w:r>
            <w:proofErr w:type="spellEnd"/>
            <w:r w:rsidRPr="004A2C8D">
              <w:rPr>
                <w:rFonts w:eastAsia="Times New Roman" w:cs="Times New Roman"/>
                <w:sz w:val="15"/>
                <w:lang w:val="es-CO"/>
              </w:rPr>
              <w:t>, pista, aeronave, modo, cámara, FOV, tasas, transmisor, calibración, batería, daños y ambiente</w:t>
            </w:r>
          </w:p>
        </w:tc>
        <w:tc>
          <w:tcPr>
            <w:tcW w:w="2835" w:type="dxa"/>
            <w:shd w:val="clear" w:color="auto" w:fill="F2F2F2"/>
            <w:tcMar>
              <w:top w:w="50" w:type="dxa"/>
              <w:left w:w="70" w:type="dxa"/>
              <w:bottom w:w="50" w:type="dxa"/>
              <w:right w:w="70" w:type="dxa"/>
            </w:tcMar>
          </w:tcPr>
          <w:p w14:paraId="316BB2D0" w14:textId="77777777" w:rsidR="00FA6ADD" w:rsidRPr="004A2C8D" w:rsidRDefault="00000000">
            <w:pPr>
              <w:rPr>
                <w:lang w:val="es-CO"/>
              </w:rPr>
            </w:pPr>
            <w:r w:rsidRPr="004A2C8D">
              <w:rPr>
                <w:rFonts w:eastAsia="Times New Roman" w:cs="Times New Roman"/>
                <w:sz w:val="15"/>
                <w:lang w:val="es-CO"/>
              </w:rPr>
              <w:t>Distingue aprendizaje humano de cambios en la dinámica o interfaz</w:t>
            </w:r>
          </w:p>
        </w:tc>
      </w:tr>
      <w:tr w:rsidR="00FA6ADD" w:rsidRPr="004A2C8D" w14:paraId="052ECD69" w14:textId="77777777">
        <w:trPr>
          <w:cantSplit/>
          <w:jc w:val="center"/>
        </w:trPr>
        <w:tc>
          <w:tcPr>
            <w:tcW w:w="1701" w:type="dxa"/>
            <w:tcMar>
              <w:top w:w="50" w:type="dxa"/>
              <w:left w:w="70" w:type="dxa"/>
              <w:bottom w:w="50" w:type="dxa"/>
              <w:right w:w="70" w:type="dxa"/>
            </w:tcMar>
          </w:tcPr>
          <w:p w14:paraId="1E7DCEDD" w14:textId="77777777" w:rsidR="00FA6ADD" w:rsidRDefault="00000000">
            <w:r>
              <w:rPr>
                <w:rFonts w:eastAsia="Times New Roman" w:cs="Times New Roman"/>
                <w:sz w:val="15"/>
              </w:rPr>
              <w:t>Misión sUAS</w:t>
            </w:r>
          </w:p>
        </w:tc>
        <w:tc>
          <w:tcPr>
            <w:tcW w:w="4592" w:type="dxa"/>
            <w:tcMar>
              <w:top w:w="50" w:type="dxa"/>
              <w:left w:w="70" w:type="dxa"/>
              <w:bottom w:w="50" w:type="dxa"/>
              <w:right w:w="70" w:type="dxa"/>
            </w:tcMar>
          </w:tcPr>
          <w:p w14:paraId="5B75B060" w14:textId="77777777" w:rsidR="00FA6ADD" w:rsidRPr="004A2C8D" w:rsidRDefault="00000000">
            <w:pPr>
              <w:rPr>
                <w:lang w:val="es-CO"/>
              </w:rPr>
            </w:pPr>
            <w:r w:rsidRPr="004A2C8D">
              <w:rPr>
                <w:rFonts w:eastAsia="Times New Roman" w:cs="Times New Roman"/>
                <w:sz w:val="15"/>
                <w:lang w:val="es-CO"/>
              </w:rPr>
              <w:t xml:space="preserve">Semilla, eventos, alertas, política de automatización, fallos y criterios de </w:t>
            </w:r>
            <w:proofErr w:type="spellStart"/>
            <w:r w:rsidRPr="004A2C8D">
              <w:rPr>
                <w:rFonts w:eastAsia="Times New Roman" w:cs="Times New Roman"/>
                <w:sz w:val="15"/>
                <w:lang w:val="es-CO"/>
              </w:rPr>
              <w:t>abortaje</w:t>
            </w:r>
            <w:proofErr w:type="spellEnd"/>
          </w:p>
        </w:tc>
        <w:tc>
          <w:tcPr>
            <w:tcW w:w="2835" w:type="dxa"/>
            <w:tcMar>
              <w:top w:w="50" w:type="dxa"/>
              <w:left w:w="70" w:type="dxa"/>
              <w:bottom w:w="50" w:type="dxa"/>
              <w:right w:w="70" w:type="dxa"/>
            </w:tcMar>
          </w:tcPr>
          <w:p w14:paraId="4CFC46A4" w14:textId="77777777" w:rsidR="00FA6ADD" w:rsidRPr="004A2C8D" w:rsidRDefault="00000000">
            <w:pPr>
              <w:rPr>
                <w:lang w:val="es-CO"/>
              </w:rPr>
            </w:pPr>
            <w:r w:rsidRPr="004A2C8D">
              <w:rPr>
                <w:rFonts w:eastAsia="Times New Roman" w:cs="Times New Roman"/>
                <w:sz w:val="15"/>
                <w:lang w:val="es-CO"/>
              </w:rPr>
              <w:t>Permite reproducción y análisis de decisiones</w:t>
            </w:r>
          </w:p>
        </w:tc>
      </w:tr>
      <w:tr w:rsidR="00FA6ADD" w:rsidRPr="004A2C8D" w14:paraId="0945EBCC" w14:textId="77777777">
        <w:trPr>
          <w:cantSplit/>
          <w:jc w:val="center"/>
        </w:trPr>
        <w:tc>
          <w:tcPr>
            <w:tcW w:w="1701" w:type="dxa"/>
            <w:shd w:val="clear" w:color="auto" w:fill="F2F2F2"/>
            <w:tcMar>
              <w:top w:w="50" w:type="dxa"/>
              <w:left w:w="70" w:type="dxa"/>
              <w:bottom w:w="50" w:type="dxa"/>
              <w:right w:w="70" w:type="dxa"/>
            </w:tcMar>
          </w:tcPr>
          <w:p w14:paraId="6F8AE1B9" w14:textId="77777777" w:rsidR="00FA6ADD" w:rsidRDefault="00000000">
            <w:r>
              <w:rPr>
                <w:rFonts w:eastAsia="Times New Roman" w:cs="Times New Roman"/>
                <w:sz w:val="15"/>
              </w:rPr>
              <w:t xml:space="preserve">Tiempo y </w:t>
            </w:r>
            <w:proofErr w:type="spellStart"/>
            <w:r>
              <w:rPr>
                <w:rFonts w:eastAsia="Times New Roman" w:cs="Times New Roman"/>
                <w:sz w:val="15"/>
              </w:rPr>
              <w:t>sincronía</w:t>
            </w:r>
            <w:proofErr w:type="spellEnd"/>
          </w:p>
        </w:tc>
        <w:tc>
          <w:tcPr>
            <w:tcW w:w="4592" w:type="dxa"/>
            <w:shd w:val="clear" w:color="auto" w:fill="F2F2F2"/>
            <w:tcMar>
              <w:top w:w="50" w:type="dxa"/>
              <w:left w:w="70" w:type="dxa"/>
              <w:bottom w:w="50" w:type="dxa"/>
              <w:right w:w="70" w:type="dxa"/>
            </w:tcMar>
          </w:tcPr>
          <w:p w14:paraId="3E027955" w14:textId="77777777" w:rsidR="00FA6ADD" w:rsidRPr="004A2C8D" w:rsidRDefault="00000000">
            <w:pPr>
              <w:rPr>
                <w:lang w:val="es-CO"/>
              </w:rPr>
            </w:pPr>
            <w:r w:rsidRPr="004A2C8D">
              <w:rPr>
                <w:rFonts w:eastAsia="Times New Roman" w:cs="Times New Roman"/>
                <w:sz w:val="15"/>
                <w:lang w:val="es-CO"/>
              </w:rPr>
              <w:t>Dominios de reloj, marcadores, pérdidas, incertidumbre y reporte de calificación física</w:t>
            </w:r>
          </w:p>
        </w:tc>
        <w:tc>
          <w:tcPr>
            <w:tcW w:w="2835" w:type="dxa"/>
            <w:shd w:val="clear" w:color="auto" w:fill="F2F2F2"/>
            <w:tcMar>
              <w:top w:w="50" w:type="dxa"/>
              <w:left w:w="70" w:type="dxa"/>
              <w:bottom w:w="50" w:type="dxa"/>
              <w:right w:w="70" w:type="dxa"/>
            </w:tcMar>
          </w:tcPr>
          <w:p w14:paraId="7FF586EB" w14:textId="77777777" w:rsidR="00FA6ADD" w:rsidRPr="004A2C8D" w:rsidRDefault="00000000">
            <w:pPr>
              <w:rPr>
                <w:lang w:val="es-CO"/>
              </w:rPr>
            </w:pPr>
            <w:r w:rsidRPr="004A2C8D">
              <w:rPr>
                <w:rFonts w:eastAsia="Times New Roman" w:cs="Times New Roman"/>
                <w:sz w:val="15"/>
                <w:lang w:val="es-CO"/>
              </w:rPr>
              <w:t>Evita atribuir precisión temporal no medida</w:t>
            </w:r>
          </w:p>
        </w:tc>
      </w:tr>
      <w:tr w:rsidR="00FA6ADD" w:rsidRPr="004A2C8D" w14:paraId="426154BE" w14:textId="77777777">
        <w:trPr>
          <w:cantSplit/>
          <w:jc w:val="center"/>
        </w:trPr>
        <w:tc>
          <w:tcPr>
            <w:tcW w:w="1701" w:type="dxa"/>
            <w:tcMar>
              <w:top w:w="50" w:type="dxa"/>
              <w:left w:w="70" w:type="dxa"/>
              <w:bottom w:w="50" w:type="dxa"/>
              <w:right w:w="70" w:type="dxa"/>
            </w:tcMar>
          </w:tcPr>
          <w:p w14:paraId="5A739F7D" w14:textId="77777777" w:rsidR="00FA6ADD" w:rsidRDefault="00000000">
            <w:proofErr w:type="spellStart"/>
            <w:r>
              <w:rPr>
                <w:rFonts w:eastAsia="Times New Roman" w:cs="Times New Roman"/>
                <w:sz w:val="15"/>
              </w:rPr>
              <w:t>Fisiología</w:t>
            </w:r>
            <w:proofErr w:type="spellEnd"/>
          </w:p>
        </w:tc>
        <w:tc>
          <w:tcPr>
            <w:tcW w:w="4592" w:type="dxa"/>
            <w:tcMar>
              <w:top w:w="50" w:type="dxa"/>
              <w:left w:w="70" w:type="dxa"/>
              <w:bottom w:w="50" w:type="dxa"/>
              <w:right w:w="70" w:type="dxa"/>
            </w:tcMar>
          </w:tcPr>
          <w:p w14:paraId="20BA68F6" w14:textId="77777777" w:rsidR="00FA6ADD" w:rsidRPr="004A2C8D" w:rsidRDefault="00000000">
            <w:pPr>
              <w:rPr>
                <w:lang w:val="es-CO"/>
              </w:rPr>
            </w:pPr>
            <w:r w:rsidRPr="004A2C8D">
              <w:rPr>
                <w:rFonts w:eastAsia="Times New Roman" w:cs="Times New Roman"/>
                <w:sz w:val="15"/>
                <w:lang w:val="es-CO"/>
              </w:rPr>
              <w:t>Sensor/firmware, señal fuente, frecuencia, colocación, filtrado, artefactos, cobertura y ventanas</w:t>
            </w:r>
          </w:p>
        </w:tc>
        <w:tc>
          <w:tcPr>
            <w:tcW w:w="2835" w:type="dxa"/>
            <w:tcMar>
              <w:top w:w="50" w:type="dxa"/>
              <w:left w:w="70" w:type="dxa"/>
              <w:bottom w:w="50" w:type="dxa"/>
              <w:right w:w="70" w:type="dxa"/>
            </w:tcMar>
          </w:tcPr>
          <w:p w14:paraId="2A596415" w14:textId="77777777" w:rsidR="00FA6ADD" w:rsidRPr="004A2C8D" w:rsidRDefault="00000000">
            <w:pPr>
              <w:rPr>
                <w:lang w:val="es-CO"/>
              </w:rPr>
            </w:pPr>
            <w:r w:rsidRPr="004A2C8D">
              <w:rPr>
                <w:rFonts w:eastAsia="Times New Roman" w:cs="Times New Roman"/>
                <w:sz w:val="15"/>
                <w:lang w:val="es-CO"/>
              </w:rPr>
              <w:t>Sustenta interpretación de FC/VFC y reproducibilidad</w:t>
            </w:r>
          </w:p>
        </w:tc>
      </w:tr>
      <w:tr w:rsidR="00FA6ADD" w:rsidRPr="004A2C8D" w14:paraId="560D08F0" w14:textId="77777777">
        <w:trPr>
          <w:cantSplit/>
          <w:jc w:val="center"/>
        </w:trPr>
        <w:tc>
          <w:tcPr>
            <w:tcW w:w="1701" w:type="dxa"/>
            <w:shd w:val="clear" w:color="auto" w:fill="F2F2F2"/>
            <w:tcMar>
              <w:top w:w="50" w:type="dxa"/>
              <w:left w:w="70" w:type="dxa"/>
              <w:bottom w:w="50" w:type="dxa"/>
              <w:right w:w="70" w:type="dxa"/>
            </w:tcMar>
          </w:tcPr>
          <w:p w14:paraId="2AFCD212" w14:textId="77777777" w:rsidR="00FA6ADD" w:rsidRDefault="00000000">
            <w:proofErr w:type="spellStart"/>
            <w:r>
              <w:rPr>
                <w:rFonts w:eastAsia="Times New Roman" w:cs="Times New Roman"/>
                <w:sz w:val="15"/>
              </w:rPr>
              <w:t>Participantes</w:t>
            </w:r>
            <w:proofErr w:type="spellEnd"/>
            <w:r>
              <w:rPr>
                <w:rFonts w:eastAsia="Times New Roman" w:cs="Times New Roman"/>
                <w:sz w:val="15"/>
              </w:rPr>
              <w:t>/</w:t>
            </w:r>
            <w:proofErr w:type="spellStart"/>
            <w:r>
              <w:rPr>
                <w:rFonts w:eastAsia="Times New Roman" w:cs="Times New Roman"/>
                <w:sz w:val="15"/>
              </w:rPr>
              <w:t>contexto</w:t>
            </w:r>
            <w:proofErr w:type="spellEnd"/>
          </w:p>
        </w:tc>
        <w:tc>
          <w:tcPr>
            <w:tcW w:w="4592" w:type="dxa"/>
            <w:shd w:val="clear" w:color="auto" w:fill="F2F2F2"/>
            <w:tcMar>
              <w:top w:w="50" w:type="dxa"/>
              <w:left w:w="70" w:type="dxa"/>
              <w:bottom w:w="50" w:type="dxa"/>
              <w:right w:w="70" w:type="dxa"/>
            </w:tcMar>
          </w:tcPr>
          <w:p w14:paraId="4013B63C" w14:textId="77777777" w:rsidR="00FA6ADD" w:rsidRPr="004A2C8D" w:rsidRDefault="00000000">
            <w:pPr>
              <w:rPr>
                <w:lang w:val="es-CO"/>
              </w:rPr>
            </w:pPr>
            <w:r w:rsidRPr="004A2C8D">
              <w:rPr>
                <w:rFonts w:eastAsia="Times New Roman" w:cs="Times New Roman"/>
                <w:sz w:val="15"/>
                <w:lang w:val="es-CO"/>
              </w:rPr>
              <w:t>Experiencia, familiarización, sueño, KSS, sustancias, actividad, orden y desviaciones</w:t>
            </w:r>
          </w:p>
        </w:tc>
        <w:tc>
          <w:tcPr>
            <w:tcW w:w="2835" w:type="dxa"/>
            <w:shd w:val="clear" w:color="auto" w:fill="F2F2F2"/>
            <w:tcMar>
              <w:top w:w="50" w:type="dxa"/>
              <w:left w:w="70" w:type="dxa"/>
              <w:bottom w:w="50" w:type="dxa"/>
              <w:right w:w="70" w:type="dxa"/>
            </w:tcMar>
          </w:tcPr>
          <w:p w14:paraId="4F42F064" w14:textId="77777777" w:rsidR="00FA6ADD" w:rsidRPr="004A2C8D" w:rsidRDefault="00000000">
            <w:pPr>
              <w:rPr>
                <w:lang w:val="es-CO"/>
              </w:rPr>
            </w:pPr>
            <w:r w:rsidRPr="004A2C8D">
              <w:rPr>
                <w:rFonts w:eastAsia="Times New Roman" w:cs="Times New Roman"/>
                <w:sz w:val="15"/>
                <w:lang w:val="es-CO"/>
              </w:rPr>
              <w:t>Reduce confusión en comparaciones intra e interindividuales</w:t>
            </w:r>
          </w:p>
        </w:tc>
      </w:tr>
      <w:tr w:rsidR="00FA6ADD" w:rsidRPr="004A2C8D" w14:paraId="7690C574" w14:textId="77777777">
        <w:trPr>
          <w:cantSplit/>
          <w:jc w:val="center"/>
        </w:trPr>
        <w:tc>
          <w:tcPr>
            <w:tcW w:w="1701" w:type="dxa"/>
            <w:tcMar>
              <w:top w:w="50" w:type="dxa"/>
              <w:left w:w="70" w:type="dxa"/>
              <w:bottom w:w="50" w:type="dxa"/>
              <w:right w:w="70" w:type="dxa"/>
            </w:tcMar>
          </w:tcPr>
          <w:p w14:paraId="4D1CCC82" w14:textId="77777777" w:rsidR="00FA6ADD" w:rsidRDefault="00000000">
            <w:proofErr w:type="spellStart"/>
            <w:r>
              <w:rPr>
                <w:rFonts w:eastAsia="Times New Roman" w:cs="Times New Roman"/>
                <w:sz w:val="15"/>
              </w:rPr>
              <w:t>Desenlaces</w:t>
            </w:r>
            <w:proofErr w:type="spellEnd"/>
          </w:p>
        </w:tc>
        <w:tc>
          <w:tcPr>
            <w:tcW w:w="4592" w:type="dxa"/>
            <w:tcMar>
              <w:top w:w="50" w:type="dxa"/>
              <w:left w:w="70" w:type="dxa"/>
              <w:bottom w:w="50" w:type="dxa"/>
              <w:right w:w="70" w:type="dxa"/>
            </w:tcMar>
          </w:tcPr>
          <w:p w14:paraId="64DE7197" w14:textId="77777777" w:rsidR="00FA6ADD" w:rsidRPr="004A2C8D" w:rsidRDefault="00000000">
            <w:pPr>
              <w:rPr>
                <w:lang w:val="es-CO"/>
              </w:rPr>
            </w:pPr>
            <w:r w:rsidRPr="004A2C8D">
              <w:rPr>
                <w:rFonts w:eastAsia="Times New Roman" w:cs="Times New Roman"/>
                <w:sz w:val="15"/>
                <w:lang w:val="es-CO"/>
              </w:rPr>
              <w:t>Definición, unidad, versión, algoritmo, datos faltantes, exclusiones y procedencia</w:t>
            </w:r>
          </w:p>
        </w:tc>
        <w:tc>
          <w:tcPr>
            <w:tcW w:w="2835" w:type="dxa"/>
            <w:tcMar>
              <w:top w:w="50" w:type="dxa"/>
              <w:left w:w="70" w:type="dxa"/>
              <w:bottom w:w="50" w:type="dxa"/>
              <w:right w:w="70" w:type="dxa"/>
            </w:tcMar>
          </w:tcPr>
          <w:p w14:paraId="44B889F1" w14:textId="77777777" w:rsidR="00FA6ADD" w:rsidRPr="004A2C8D" w:rsidRDefault="00000000">
            <w:pPr>
              <w:rPr>
                <w:lang w:val="es-CO"/>
              </w:rPr>
            </w:pPr>
            <w:r w:rsidRPr="004A2C8D">
              <w:rPr>
                <w:rFonts w:eastAsia="Times New Roman" w:cs="Times New Roman"/>
                <w:sz w:val="15"/>
                <w:lang w:val="es-CO"/>
              </w:rPr>
              <w:t xml:space="preserve">Previene puntuaciones ambiguas o </w:t>
            </w:r>
            <w:proofErr w:type="spellStart"/>
            <w:r w:rsidRPr="004A2C8D">
              <w:rPr>
                <w:rFonts w:eastAsia="Times New Roman" w:cs="Times New Roman"/>
                <w:sz w:val="15"/>
                <w:lang w:val="es-CO"/>
              </w:rPr>
              <w:t>reetiquetado</w:t>
            </w:r>
            <w:proofErr w:type="spellEnd"/>
            <w:r w:rsidRPr="004A2C8D">
              <w:rPr>
                <w:rFonts w:eastAsia="Times New Roman" w:cs="Times New Roman"/>
                <w:sz w:val="15"/>
                <w:lang w:val="es-CO"/>
              </w:rPr>
              <w:t xml:space="preserve"> retrospectivo</w:t>
            </w:r>
          </w:p>
        </w:tc>
      </w:tr>
      <w:tr w:rsidR="00FA6ADD" w:rsidRPr="004A2C8D" w14:paraId="57168DE0" w14:textId="77777777">
        <w:trPr>
          <w:cantSplit/>
          <w:jc w:val="center"/>
        </w:trPr>
        <w:tc>
          <w:tcPr>
            <w:tcW w:w="1701" w:type="dxa"/>
            <w:shd w:val="clear" w:color="auto" w:fill="F2F2F2"/>
            <w:tcMar>
              <w:top w:w="50" w:type="dxa"/>
              <w:left w:w="70" w:type="dxa"/>
              <w:bottom w:w="50" w:type="dxa"/>
              <w:right w:w="70" w:type="dxa"/>
            </w:tcMar>
          </w:tcPr>
          <w:p w14:paraId="2AF3EA5A" w14:textId="77777777" w:rsidR="00FA6ADD" w:rsidRDefault="00000000">
            <w:proofErr w:type="spellStart"/>
            <w:r>
              <w:rPr>
                <w:rFonts w:eastAsia="Times New Roman" w:cs="Times New Roman"/>
                <w:sz w:val="15"/>
              </w:rPr>
              <w:t>Análisis</w:t>
            </w:r>
            <w:proofErr w:type="spellEnd"/>
            <w:r>
              <w:rPr>
                <w:rFonts w:eastAsia="Times New Roman" w:cs="Times New Roman"/>
                <w:sz w:val="15"/>
              </w:rPr>
              <w:t xml:space="preserve"> y </w:t>
            </w:r>
            <w:proofErr w:type="spellStart"/>
            <w:r>
              <w:rPr>
                <w:rFonts w:eastAsia="Times New Roman" w:cs="Times New Roman"/>
                <w:sz w:val="15"/>
              </w:rPr>
              <w:t>archivo</w:t>
            </w:r>
            <w:proofErr w:type="spellEnd"/>
          </w:p>
        </w:tc>
        <w:tc>
          <w:tcPr>
            <w:tcW w:w="4592" w:type="dxa"/>
            <w:shd w:val="clear" w:color="auto" w:fill="F2F2F2"/>
            <w:tcMar>
              <w:top w:w="50" w:type="dxa"/>
              <w:left w:w="70" w:type="dxa"/>
              <w:bottom w:w="50" w:type="dxa"/>
              <w:right w:w="70" w:type="dxa"/>
            </w:tcMar>
          </w:tcPr>
          <w:p w14:paraId="6A72583B" w14:textId="77777777" w:rsidR="00FA6ADD" w:rsidRPr="004A2C8D" w:rsidRDefault="00000000">
            <w:pPr>
              <w:rPr>
                <w:lang w:val="es-CO"/>
              </w:rPr>
            </w:pPr>
            <w:proofErr w:type="spellStart"/>
            <w:r w:rsidRPr="004A2C8D">
              <w:rPr>
                <w:rFonts w:eastAsia="Times New Roman" w:cs="Times New Roman"/>
                <w:sz w:val="15"/>
                <w:lang w:val="es-CO"/>
              </w:rPr>
              <w:t>Prerregistro</w:t>
            </w:r>
            <w:proofErr w:type="spellEnd"/>
            <w:r w:rsidRPr="004A2C8D">
              <w:rPr>
                <w:rFonts w:eastAsia="Times New Roman" w:cs="Times New Roman"/>
                <w:sz w:val="15"/>
                <w:lang w:val="es-CO"/>
              </w:rPr>
              <w:t>, modelos, intervalos, análisis exploratorios, hashes, acceso y retención</w:t>
            </w:r>
          </w:p>
        </w:tc>
        <w:tc>
          <w:tcPr>
            <w:tcW w:w="2835" w:type="dxa"/>
            <w:shd w:val="clear" w:color="auto" w:fill="F2F2F2"/>
            <w:tcMar>
              <w:top w:w="50" w:type="dxa"/>
              <w:left w:w="70" w:type="dxa"/>
              <w:bottom w:w="50" w:type="dxa"/>
              <w:right w:w="70" w:type="dxa"/>
            </w:tcMar>
          </w:tcPr>
          <w:p w14:paraId="3FAFD1F6" w14:textId="77777777" w:rsidR="00FA6ADD" w:rsidRPr="004A2C8D" w:rsidRDefault="00000000">
            <w:pPr>
              <w:rPr>
                <w:lang w:val="es-CO"/>
              </w:rPr>
            </w:pPr>
            <w:r w:rsidRPr="004A2C8D">
              <w:rPr>
                <w:rFonts w:eastAsia="Times New Roman" w:cs="Times New Roman"/>
                <w:sz w:val="15"/>
                <w:lang w:val="es-CO"/>
              </w:rPr>
              <w:t>Facilita auditoría, replicación y uso responsable</w:t>
            </w:r>
          </w:p>
        </w:tc>
      </w:tr>
    </w:tbl>
    <w:p w14:paraId="174DBD78" w14:textId="77777777" w:rsidR="00CE11D1" w:rsidRPr="004A2C8D" w:rsidRDefault="00CE11D1">
      <w:pPr>
        <w:rPr>
          <w:lang w:val="es-CO"/>
        </w:rPr>
      </w:pPr>
    </w:p>
    <w:sectPr w:rsidR="00CE11D1" w:rsidRPr="004A2C8D" w:rsidSect="00034616">
      <w:footerReference w:type="default" r:id="rId11"/>
      <w:pgSz w:w="11906" w:h="16838"/>
      <w:pgMar w:top="1134" w:right="1134" w:bottom="1134" w:left="170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38C6F" w14:textId="77777777" w:rsidR="00CE11D1" w:rsidRDefault="00CE11D1">
      <w:r>
        <w:separator/>
      </w:r>
    </w:p>
  </w:endnote>
  <w:endnote w:type="continuationSeparator" w:id="0">
    <w:p w14:paraId="5BD3C1FD" w14:textId="77777777" w:rsidR="00CE11D1" w:rsidRDefault="00CE1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F43BB" w14:textId="77777777" w:rsidR="00FA6ADD" w:rsidRDefault="00000000">
    <w:pPr>
      <w:pStyle w:val="Footer"/>
      <w:jc w:val="center"/>
    </w:pPr>
    <w:r>
      <w:rPr>
        <w:rFonts w:eastAsia="Times New Roman" w:cs="Times New Roman"/>
        <w:color w:val="5A5A5A"/>
        <w:sz w:val="16"/>
      </w:rPr>
      <w:t xml:space="preserve">EMAVI </w:t>
    </w:r>
    <w:proofErr w:type="gramStart"/>
    <w:r>
      <w:rPr>
        <w:rFonts w:eastAsia="Times New Roman" w:cs="Times New Roman"/>
        <w:color w:val="5A5A5A"/>
        <w:sz w:val="16"/>
      </w:rPr>
      <w:t>2026  |</w:t>
    </w:r>
    <w:proofErr w:type="gramEnd"/>
    <w:r>
      <w:rPr>
        <w:rFonts w:eastAsia="Times New Roman" w:cs="Times New Roman"/>
        <w:color w:val="5A5A5A"/>
        <w:sz w:val="16"/>
      </w:rPr>
      <w:t xml:space="preserve">  Página </w:t>
    </w:r>
    <w:r>
      <w:rPr>
        <w:rFonts w:eastAsia="Times New Roman" w:cs="Times New Roman"/>
        <w:color w:val="5A5A5A"/>
        <w:sz w:val="16"/>
      </w:rPr>
      <w:fldChar w:fldCharType="begin"/>
    </w:r>
    <w:r>
      <w:rPr>
        <w:rFonts w:eastAsia="Times New Roman" w:cs="Times New Roman"/>
        <w:color w:val="5A5A5A"/>
        <w:sz w:val="16"/>
      </w:rPr>
      <w:instrText>PAGE</w:instrText>
    </w:r>
    <w:r w:rsidR="004A2C8D">
      <w:rPr>
        <w:rFonts w:eastAsia="Times New Roman" w:cs="Times New Roman"/>
        <w:color w:val="5A5A5A"/>
        <w:sz w:val="16"/>
      </w:rPr>
      <w:fldChar w:fldCharType="separate"/>
    </w:r>
    <w:r w:rsidR="004A2C8D">
      <w:rPr>
        <w:rFonts w:eastAsia="Times New Roman" w:cs="Times New Roman"/>
        <w:noProof/>
        <w:color w:val="5A5A5A"/>
        <w:sz w:val="16"/>
      </w:rPr>
      <w:t>1</w:t>
    </w:r>
    <w:r>
      <w:rPr>
        <w:rFonts w:eastAsia="Times New Roman" w:cs="Times New Roman"/>
        <w:color w:val="5A5A5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3B76C" w14:textId="77777777" w:rsidR="00CE11D1" w:rsidRDefault="00CE11D1">
      <w:r>
        <w:separator/>
      </w:r>
    </w:p>
  </w:footnote>
  <w:footnote w:type="continuationSeparator" w:id="0">
    <w:p w14:paraId="73CA8498" w14:textId="77777777" w:rsidR="00CE11D1" w:rsidRDefault="00CE11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4060880">
    <w:abstractNumId w:val="8"/>
  </w:num>
  <w:num w:numId="2" w16cid:durableId="1568030829">
    <w:abstractNumId w:val="6"/>
  </w:num>
  <w:num w:numId="3" w16cid:durableId="232550311">
    <w:abstractNumId w:val="5"/>
  </w:num>
  <w:num w:numId="4" w16cid:durableId="1534271386">
    <w:abstractNumId w:val="4"/>
  </w:num>
  <w:num w:numId="5" w16cid:durableId="2024043484">
    <w:abstractNumId w:val="7"/>
  </w:num>
  <w:num w:numId="6" w16cid:durableId="925114055">
    <w:abstractNumId w:val="3"/>
  </w:num>
  <w:num w:numId="7" w16cid:durableId="1812865047">
    <w:abstractNumId w:val="2"/>
  </w:num>
  <w:num w:numId="8" w16cid:durableId="821699122">
    <w:abstractNumId w:val="1"/>
  </w:num>
  <w:num w:numId="9" w16cid:durableId="1249189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562"/>
    <w:rsid w:val="0015074B"/>
    <w:rsid w:val="00230555"/>
    <w:rsid w:val="002766EF"/>
    <w:rsid w:val="0029639D"/>
    <w:rsid w:val="00326F90"/>
    <w:rsid w:val="003935DA"/>
    <w:rsid w:val="004A2C8D"/>
    <w:rsid w:val="005D7C39"/>
    <w:rsid w:val="00631EE3"/>
    <w:rsid w:val="0098504D"/>
    <w:rsid w:val="009B60EB"/>
    <w:rsid w:val="00AA1D8D"/>
    <w:rsid w:val="00B47730"/>
    <w:rsid w:val="00C30684"/>
    <w:rsid w:val="00C90493"/>
    <w:rsid w:val="00CB0664"/>
    <w:rsid w:val="00CE11D1"/>
    <w:rsid w:val="00EE2074"/>
    <w:rsid w:val="00EF07F0"/>
    <w:rsid w:val="00FA6A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FA7F6C"/>
  <w14:defaultImageDpi w14:val="300"/>
  <w15:docId w15:val="{C4C21587-46BC-47AB-A309-9F07F3218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uiPriority w:val="99"/>
    <w:unhideWhenUsed/>
    <w:rsid w:val="004A2C8D"/>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0-0002-2257-4940"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12</Pages>
  <Words>8738</Words>
  <Characters>48062</Characters>
  <Application>Microsoft Office Word</Application>
  <DocSecurity>0</DocSecurity>
  <Lines>400</Lines>
  <Paragraphs>113</Paragraphs>
  <ScaleCrop>false</ScaleCrop>
  <HeadingPairs>
    <vt:vector size="2" baseType="variant">
      <vt:variant>
        <vt:lpstr>Title</vt:lpstr>
      </vt:variant>
      <vt:variant>
        <vt:i4>1</vt:i4>
      </vt:variant>
    </vt:vector>
  </HeadingPairs>
  <TitlesOfParts>
    <vt:vector size="1" baseType="lpstr">
      <vt:lpstr>Plataforma integrada para estudiar desempeño humano en aeronaves no tripuladas con visión en primera persona</vt:lpstr>
    </vt:vector>
  </TitlesOfParts>
  <Manager/>
  <Company/>
  <LinksUpToDate>false</LinksUpToDate>
  <CharactersWithSpaces>56687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Plataforma integrada para estudiar desempeño humano en aeronaves no tripuladas con visión en primera persona</dc:title>
  <dc:subject>Artículo de investigación científica y tecnológica para EMAVI 2026</dc:subject>
  <dc:creator>Diego Leonel Malpica Hincapié</dc:creator>
  <cp:keywords>carga mental, desempeño humano, factores humanos, simulación, sistemas de aeronaves no tripuladas, visión en primera persona</cp:keywords>
  <dc:description>Manuscrito EMAVI 2026 reconstruido a partir de la auditoría del repositorio MATB y literatura científica.</dc:description>
  <cp:lastModifiedBy>SMSM16. DIEGO LEONEL MALPICA HINCAPIE</cp:lastModifiedBy>
  <cp:revision>7</cp:revision>
  <dcterms:created xsi:type="dcterms:W3CDTF">2013-12-23T23:15:00Z</dcterms:created>
  <dcterms:modified xsi:type="dcterms:W3CDTF">2026-09-04T13:34:00Z</dcterms:modified>
  <cp:category/>
</cp:coreProperties>
</file>