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a205f391d6ff5c90a6b466822a9f49e87b0184"/>
    <w:p>
      <w:pPr>
        <w:pStyle w:val="Heading1"/>
      </w:pPr>
      <w:r>
        <w:t xml:space="preserve">Supplemental Digital Content 1 — TRIPOD 2015 Checklist</w:t>
      </w:r>
    </w:p>
    <w:p>
      <w:pPr>
        <w:pStyle w:val="FirstParagraph"/>
      </w:pPr>
      <w:r>
        <w:rPr>
          <w:bCs/>
          <w:b/>
        </w:rPr>
        <w:t xml:space="preserve">Manuscript:</w:t>
      </w:r>
      <w:r>
        <w:t xml:space="preserve"> </w:t>
      </w:r>
      <w:r>
        <w:t xml:space="preserve">Physics-Informed Middle Ear Barotrauma Risk for Hypobaric Chamber Training: A Computational Prediction Model Calibrated to the Colombian Aerospace Force Cohort and Externally Validated Against Italian Air Force Cohorts</w:t>
      </w:r>
    </w:p>
    <w:p>
      <w:pPr>
        <w:pStyle w:val="BodyText"/>
      </w:pPr>
      <w:r>
        <w:rPr>
          <w:bCs/>
          <w:b/>
        </w:rPr>
        <w:t xml:space="preserve">Reporting guideline:</w:t>
      </w:r>
      <w:r>
        <w:t xml:space="preserve"> </w:t>
      </w:r>
      <w:r>
        <w:t xml:space="preserve">Transparent Reporting of a multivariable prediction model for Individual Prognosis Or Diagnosis (TRIPOD 2015) — Collins GS, Reitsma JB, Altman DG, Moons KGM.</w:t>
      </w:r>
      <w:r>
        <w:t xml:space="preserve"> </w:t>
      </w:r>
      <w:r>
        <w:rPr>
          <w:iCs/>
          <w:i/>
        </w:rPr>
        <w:t xml:space="preserve">Ann Intern Med.</w:t>
      </w:r>
      <w:r>
        <w:t xml:space="preserve"> </w:t>
      </w:r>
      <w:r>
        <w:t xml:space="preserve">2015;162(1):55–63.</w:t>
      </w:r>
    </w:p>
    <w:p>
      <w:pPr>
        <w:pStyle w:val="BodyText"/>
      </w:pPr>
      <w:r>
        <w:rPr>
          <w:bCs/>
          <w:b/>
        </w:rPr>
        <w:t xml:space="preserve">TRIPOD type:</w:t>
      </w:r>
      <w:r>
        <w:t xml:space="preserve"> </w:t>
      </w:r>
      <w:r>
        <w:t xml:space="preserve">Type 4 — development and external validation in independent cohorts.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study as developing and/or validating a multivariable prediction model, the target population, and the outcome to be predicted.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(full manuscript title); Article type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summary of objectives, study design, setting, participants, sample size, predictors, outcome, statistical analysis, results, and conclusions.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abstract (8 O&amp;N headings)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— Background and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medical context (including whether diagnostic or prognostic) and rationale for developing or validating the multivariable prediction model, including references to existing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Introduction, paragraphs 1–3 (Kanick-Doyle 2005 review and three shortcomings)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— Background and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objectives, including whether the study describes the development or validation of the model, or both.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paragraph 4 (development + external validation in two air-force cohorts); Abstract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Source of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study design or source of data, separately for the development and validation data sets, if applicable.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Study design; §2.8 Calibration and external validation (separate paragraphs for development and validation cohorts)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Source of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key study dates, including start of accrual, end of accrual, and, if applicable, end of follow-up.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§2.8: development cohort 1 January 2010 – 31 March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key elements of the study setting (e.g., primary care, secondary care, general population) including number and location of centres.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§2.8: DIMAE hypobaric chamber facility, Bogotá (single centre, 2,640 m elevation); validation in three published Italian Air Force cohorts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eligibility criteria for participants.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Source of data and participants (eligibility was operational; no exclusion by age, sex, or prior ear 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details of treatments received, if relevant.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(retrospective observational; no intervention); §2.8 §2.5 (no medications administered for the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Clearly define the outcome that is predicted by the prediction model, including how and when assessed.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Outcome (Teed grade ≥ I clinical MEB ascertained by on-duty chamber flight surgeon using otoscopic, tympanometric, symptomatic criteria, within 24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any actions to blind assessment of the outcome to be predicted.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— chamber flight surgeons assessed outcomes prospectively for clinical care; no blinding to predictors but the prediction-model fit uses aggregate cohort statistics, not per-subject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Predictors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Clearly define all predictors used in developing the multivariable prediction model, including how and when they were measured.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Predictors (descent rate, mastoid volume, R</w:t>
            </w:r>
            <w:r>
              <w:t xml:space="preserve">A</w:t>
            </w:r>
            <w:r>
              <w:t xml:space="preserve">, P</w:t>
            </w:r>
            <w:r>
              <w:t xml:space="preserve">O</w:t>
            </w:r>
            <w:r>
              <w:t xml:space="preserve">’, URI temporal state, PET state, chronic rhinitis, decongestant use, prior MEB history, swallow and Valsalva frequency)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Predictors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any actions to blind assessment of predictors for the outcome and other predictors.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— predictors are mechanistic model parameters drawn from published priors and the operational record; no blinding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the study size was arrived 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development cohort: full operational registry 2010–2026 (n = 7,271 chamber exposures, n = 173 events); validation cohorts: as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how missing data were handled (e.g., complete-case analysis, single imputation, multiple imputation) with details of any imputation method.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Missing data — no imputation because anchor is an aggregate population statistic; individual-level missingness is absorbed in the cohort prior and synthetic-cohort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how predictors were handled in the analyses.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§2.5–2.7 (state-machine encoding for URI and PET; lumped-parameter muscle mechanics; three-threshold hazard)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type of model, all model-building procedures (including any predictor selection), and method for internal validation.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§2.3–2.7 mechanistic physics model (no machine learning); §2.8 Calibration methods — log-space bisection plus ABC-SMC against three summary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Statistical analysis (validation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validation, describe how the predictions were calculated.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External validation — Italian Air Force cohort priors applied to the calibrated physics model without refitting; cohort-mean per-exposure prevalence computed from synthetic-cohort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all measures used to assess model performance and, if relevant, to compare multiple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Model performance measures — absolute agreement of simulated vs observed per-exposure prevalence against Wilson 95% CI; agreement of projected career-3 prevalence; preservation of Kanick-Doyle Figure 3 healthy-baseline trace under a pinned regression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Statistical analysis (validation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model updating arising from the validation, if done.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— no model updating during external validation (cohort priors tightened for Italian AF tympanometry pre-screening; hazard constants held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Risk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details on how risk groups were created, if done.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— per-outcome probabilities (barotitis, baromyringitis, rupture) and PET × URI interaction matrix; no a priori risk-tier cutoffs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— Development vs. 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validation, identify any differences from the development data in setting, eligibility criteria, outcome, and predictors.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— Italian Air Force cohorts share altitude target and Teed-grade outcome; cohorts differ in (a) tympanometry pre-screening (tightened cohort prior applied) and (b) chamber profile detail (envelope reconstruction from published descriptions)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flow of participants through the study, including the number of participants with and without the outcome and, if applicable, a summary of the follow-up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(n = 7,271 exposures, n = 173 events, per-exposure rate 2.38%; Wilson 95% CI 2.06–2.75%); Italian AF cohorts: Morgagni 2010 n = 1,241; Morgagni 2012 n = 314; Landolfi 2009 n = 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characteristics of the participants (basic demographics, clinical features, available predictors), including the number of participants with missing data for predictors and outcome.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 Predictors and Missing data (no individual-level demographics required for cohort-aggregate 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Participants (validation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validation, show a comparison with the development data of the distribution of important variables (demographics, predictors and outcome).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Table 1; Italian AF cohorts vs FAC anchor — per-exposure rates and Wilson CI overlaps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the number of participants and outcome events in each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Calibration (FAC anchor 173 / 7,271; achieved 2.47%); ABC-SMC 100 particles × 4 generations × 150 synthetic-cohort subjects per 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done, report the unadjusted association between each candidate predictor and outcome.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Mechanistic model — unadjusted associations are not estimated; predictor effects are encoded in §2.5 multipliers and §2.7 hazard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full prediction model to allow predictions for individuals (i.e., all regression coefficients, and model intercept or baseline survival at a given time point).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§2.3–§2.7 fully specify the model; full implementation released as open-source code at https://github.com/strikerdlm/barotrauma_model (tagged release v2.2.1-manuscript)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to the use the prediction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 Model architecture; clinical-output description in §2.7 and §4.3; tutorial in repository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performance measures (with CIs) for the prediction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Calibration (FAC anchor 2.47% vs target 2.38%; ABC-SMC 95% CrI on r</w:t>
            </w:r>
            <w:r>
              <w:t xml:space="preserve">barotitis</w:t>
            </w:r>
            <w:r>
              <w:t xml:space="preserve">); §3.2 External validation (Table 1, Figure 3, Wilson 95% CIs on each cohort); §3.4 Sobol indices with magnitudes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— Model-updating (validation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done, report the results from any model updating (i.e., model specification, model performance).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no model updating during external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any limitations of the study (such as nonrepresentative sample, few events per predictor, missing data).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 Limitations (calibration-anchor publication pending; conservative rupture threshold; modeler-judgment parameters; lumped-parameter muscle mechanics; published-envelope chamber-profile reconstruction)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Interpretation (validation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validation, discuss the results with reference to performance in the development data, and any other validations.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and §4 — external-validation results vs FAC calibration anchor; two of three Italian AF cohorts within Wilson 95% CI without refitting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an overall interpretation of the results, considering objectives, limitations, results from similar studies, and other relevant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Discussion paragraphs (aperture-collapse model load-bearing for chamber rates; PET four-state model novelty; URI temporal modifier as direct encoding of rhinovirus-challenge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—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the potential clinical use of the model and implications for future research.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 Conclusions (per-exposure quantitative risk for pre-chamber screening; recommended safe descent-rate ceilings for PET and URI patients)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— Supplementary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information about the availability of supplementary resources, such as study protocol, web calculator, and data 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+ §Data availability and §Code availability statements on title page — open-source simulator at https://github.com/strikerdlm/barotrauma_model; aggregate cohort statistics in Tables 1–2 and SDCs 2–3; individual-level data on request from FAC institutional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—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source of funding and the role of the funders for the present study.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Title-page Conflicts of Interest and Source of Funding — no external funding; institutional resources of DIMAE, Colombian Aerospace Force; funders had no role in design, analysis, writing, or submission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Compliance summary:</w:t>
      </w:r>
      <w:r>
        <w:t xml:space="preserve"> </w:t>
      </w:r>
      <w:r>
        <w:t xml:space="preserve">28 of 28 items compliant (with 2 items marked Not Applicable per TRIPOD’s stated allowance for mechanistic-physics models without machine-learning components: 14b — no unadjusted predictor associations; 17 — no model updating during validation).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Collins GS, Reitsma JB, Altman DG, Moons KGM. Transparent Reporting of a multivariable prediction model for Individual Prognosis Or Diagnosis (TRIPOD): the TRIPOD Statement.</w:t>
      </w:r>
      <w:r>
        <w:t xml:space="preserve"> </w:t>
      </w:r>
      <w:r>
        <w:rPr>
          <w:iCs/>
          <w:i/>
        </w:rPr>
        <w:t xml:space="preserve">Ann Intern Med.</w:t>
      </w:r>
      <w:r>
        <w:t xml:space="preserve"> </w:t>
      </w:r>
      <w:r>
        <w:t xml:space="preserve">2015;162(1):55–63. doi:10.7326/M14-0697.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2026-05-11T18:22:43Z</dcterms:created>
  <dcterms:modified xsi:type="dcterms:W3CDTF">2026-05-11T18:22:43Z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