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pplemental-digital-content-2"/>
    <w:p>
      <w:pPr>
        <w:pStyle w:val="Heading1"/>
      </w:pPr>
      <w:r>
        <w:t xml:space="preserve">Supplemental Digital Content 2</w:t>
      </w:r>
    </w:p>
    <w:p>
      <w:pPr>
        <w:pStyle w:val="FirstParagraph"/>
      </w:pPr>
      <w:r>
        <w:rPr>
          <w:bCs/>
          <w:b/>
        </w:rPr>
        <w:t xml:space="preserve">URI temporal modifier reference table — full six-state multiplier set.</w:t>
      </w:r>
    </w:p>
    <w:p>
      <w:pPr>
        <w:pStyle w:val="BodyText"/>
      </w:pPr>
      <w:r>
        <w:t xml:space="preserve">This table provides the complete URI temporal modifier multipliers referenced in Section 2.5 of the main manuscript. Multipliers were derived from controlled rhinovirus-challenge data (references 9–11 in main manuscript) and ETDQ-7 meta-analyses (reference 16).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URI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t xml:space="preserve">A</w:t>
            </w:r>
            <w:r>
              <w:t xml:space="preserve"> </w:t>
            </w:r>
            <w:r>
              <w:t xml:space="preserve">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  <w:r>
              <w:t xml:space="preserve">O</w:t>
            </w:r>
            <w:r>
              <w:t xml:space="preserve">’ shift (daPa)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Equalization rate 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Valsalva clearance 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Per-descent relative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4–7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8–14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15–21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22–28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</w:tr>
    </w:tbl>
    <w:p>
      <w:pPr>
        <w:pStyle w:val="BodyText"/>
      </w:pPr>
      <w:r>
        <w:t xml:space="preserve">R</w:t>
      </w:r>
      <w:r>
        <w:t xml:space="preserve">A</w:t>
      </w:r>
      <w:r>
        <w:t xml:space="preserve"> </w:t>
      </w:r>
      <w:r>
        <w:t xml:space="preserve">= Eustachian-tube resistance; P</w:t>
      </w:r>
      <w:r>
        <w:t xml:space="preserve">O</w:t>
      </w:r>
      <w:r>
        <w:t xml:space="preserve">’ = passive Eustachian-tube opening pressure (1 daPa ≈ 0.075 mmHg). The peak-dysfunction window (days 4–7) drives the dominant URI-state effect on per-exposure barotitis probability in the main manuscript Section 3.1.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2026-05-11T18:21:29Z</dcterms:created>
  <dcterms:modified xsi:type="dcterms:W3CDTF">2026-05-11T18:21:29Z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