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upplemental-digital-content-3"/>
    <w:p>
      <w:pPr>
        <w:pStyle w:val="Heading1"/>
      </w:pPr>
      <w:r>
        <w:t xml:space="preserve">Supplemental Digital Content 3</w:t>
      </w:r>
    </w:p>
    <w:p>
      <w:pPr>
        <w:pStyle w:val="FirstParagraph"/>
      </w:pPr>
      <w:r>
        <w:rPr>
          <w:bCs/>
          <w:b/>
        </w:rPr>
        <w:t xml:space="preserve">Calibration summary — full bisection and ABC-SMC results including all rate constants and credible intervals.</w:t>
      </w:r>
    </w:p>
    <w:p>
      <w:pPr>
        <w:pStyle w:val="BodyText"/>
      </w:pPr>
      <w:r>
        <w:t xml:space="preserve">This table provides the complete calibration parameters referenced in Sections 2.8 and 3.1 of the main manuscript. Calibration anchors the per-outcome hazard constants to the pooled Colombian Aerospace Force (FAC) DIMAE 2010–2026 registry (n = 7,271 chamber exposures, n = 173 clinical middle-ear barotrauma events).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 per-exposure p</w:t>
            </w:r>
            <w:r>
              <w:t xml:space="preserve">barotitis</w:t>
            </w:r>
            <w:r>
              <w:t xml:space="preserve"> </w:t>
            </w:r>
            <w:r>
              <w:t xml:space="preserve">(FAC pooled 2010–2026)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Wilson 95% confidence interval on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[2.06%, 2.75%]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Achieved per-exposure p</w:t>
            </w:r>
            <w:r>
              <w:t xml:space="preserve">barotitis</w:t>
            </w:r>
            <w:r>
              <w:t xml:space="preserve"> </w:t>
            </w:r>
            <w:r>
              <w:t xml:space="preserve">(bisection calibrator)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Calibration residual (achieved − target)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+0.09 percentage 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Career projection (3 exposures, simulated)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Pooled FAC 2010–2026 career anchor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Career-3 residual (simulated − anchor)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+0.26 percentage 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w:r>
              <w:t xml:space="preserve">barotitis</w:t>
            </w:r>
            <w:r>
              <w:t xml:space="preserve"> </w:t>
            </w:r>
            <w:r>
              <w:t xml:space="preserve">(bisection point estimate; per-second hazard rate constant)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5.85 × 10⁻⁸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w:r>
              <w:t xml:space="preserve">baromyringitis</w:t>
            </w:r>
            <w:r>
              <w:t xml:space="preserve"> </w:t>
            </w:r>
            <w:r>
              <w:t xml:space="preserve">(bisection point estimate)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1.75 × 10⁻⁹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w:r>
              <w:t xml:space="preserve">rupture</w:t>
            </w:r>
            <w:r>
              <w:t xml:space="preserve"> </w:t>
            </w:r>
            <w:r>
              <w:t xml:space="preserve">(bisection point estimate)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5.85 × 10⁻¹¹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Bisection iterations to convergence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ABC-SMC posterior mean r</w:t>
            </w:r>
            <w:r>
              <w:t xml:space="preserve">barotitis</w:t>
            </w:r>
            <w:r>
              <w:t xml:space="preserve"> </w:t>
            </w:r>
            <w:r>
              <w:t xml:space="preserve">(fit against 2.00% target)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5.07 × 10⁻⁸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ABC-SMC 95% credible interval on r</w:t>
            </w:r>
            <w:r>
              <w:t xml:space="preserve">barotitis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[3.59 × 10⁻⁸, 8.00 × 10⁻⁸]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Bisection re-anchored estimate (5.85 × 10⁻⁸) inside ABC-SMC 95% CrI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ABC-SMC = Approximate Bayesian Computation Sequential Monte Carlo (reference 19 in main manuscript). Run configuration: 100 particles, 4 generations, 150 synthetic-cohort subjects per particle, tolerance schedule 13.9 → 5.0 against three summary statistics (cohort prevalence; URI day 4–7 / none gradient; severe / normal severity gradient).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2026-05-11T18:21:29Z</dcterms:created>
  <dcterms:modified xsi:type="dcterms:W3CDTF">2026-05-11T18:21:29Z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