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6"/>
        </w:rPr>
        <w:t>Middle Ear Barotrauma During Hypobaric Chamber Training: A Physics-informed, Externally Validated Risk Model</w:t>
      </w:r>
    </w:p>
    <w:p>
      <w:r>
        <w:rPr>
          <w:rFonts w:ascii="Arial" w:hAnsi="Arial"/>
          <w:i/>
          <w:sz w:val="20"/>
        </w:rPr>
        <w:t>Tables (separate editable file per Otology &amp; Neurotology editorial pre-processing).</w:t>
      </w:r>
    </w:p>
    <w:p/>
    <w:p>
      <w:r>
        <w:rPr>
          <w:rFonts w:ascii="Arial" w:hAnsi="Arial"/>
          <w:b/>
          <w:sz w:val="22"/>
        </w:rPr>
        <w:t xml:space="preserve">Table 1. </w:t>
      </w:r>
      <w:r>
        <w:rPr>
          <w:rFonts w:ascii="Arial" w:hAnsi="Arial"/>
          <w:sz w:val="22"/>
        </w:rPr>
        <w:t>External validation against Italian Air Force cohorts. Observed per-exposure barotitis incidence with Wilson 95% confidence intervals, simulated point estimates, and inside-CI verdict. No model refitting was performed against the external cohorts.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r>
              <w:rPr>
                <w:b/>
              </w:rPr>
              <w:t>Cohort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r>
              <w:rPr>
                <w:b/>
              </w:rPr>
              <w:t>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r>
              <w:rPr>
                <w:b/>
              </w:rPr>
              <w:t>Observed (Wilson 95% CI)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r>
              <w:rPr>
                <w:b/>
              </w:rPr>
              <w:t>Simulated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r>
              <w:rPr>
                <w:b/>
              </w:rPr>
              <w:t>Inside CI</w:t>
            </w:r>
          </w:p>
        </w:tc>
      </w:tr>
      <w:tr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Morgagni 2010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1,241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1.5% [0.96%, 2.34%]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3.27%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No (+1.77 percentage points)</w:t>
            </w:r>
          </w:p>
        </w:tc>
      </w:tr>
      <w:tr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Morgagni 2012, 25,000 ft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314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2.3% [1.13%, 4.62%]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3.31%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Landolfi 2009</w:t>
            </w:r>
          </w:p>
        </w:tc>
        <w:tc>
          <w:tcPr>
            <w:tcW w:type="dxa" w:w="7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335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2.4% [1.22%, 4.66%]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3.37%</w:t>
            </w:r>
          </w:p>
        </w:tc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</w:tr>
    </w:tbl>
    <w:p>
      <w:r>
        <w:rPr>
          <w:rFonts w:ascii="Arial" w:hAnsi="Arial"/>
          <w:i/>
          <w:sz w:val="18"/>
        </w:rPr>
        <w:t>CI, confidence interval. The Morgagni 2010 discrepancy lies within that cohort's own pre-screened-to-unscreened denominator spread (1.1%–2.7%) reported in the source publication.</w:t>
      </w:r>
    </w:p>
    <w:p/>
    <w:p>
      <w:r>
        <w:rPr>
          <w:rFonts w:ascii="Arial" w:hAnsi="Arial"/>
          <w:b/>
          <w:sz w:val="22"/>
        </w:rPr>
        <w:t xml:space="preserve">Table 2. </w:t>
      </w:r>
      <w:r>
        <w:rPr>
          <w:rFonts w:ascii="Arial" w:hAnsi="Arial"/>
          <w:sz w:val="22"/>
        </w:rPr>
        <w:t>Descent-rate sensitivity for a healthy patient under FAC cohort priors on a 25,000-ft descent. Maximum middle-ear pressure differential (|ΔP|), barotitis probability, and tympanic-membrane rupture probability across the physiologically relevant descent-rate range (300–10,000 ft·min⁻¹).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r>
              <w:rPr>
                <w:b/>
              </w:rPr>
              <w:t>Descent rate (ft·min⁻¹)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r>
              <w:rPr>
                <w:b/>
              </w:rPr>
              <w:t>Duration (s)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r>
              <w:rPr>
                <w:b/>
              </w:rPr>
              <w:t>Max |ΔP| (mmHg)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r>
              <w:rPr>
                <w:b/>
              </w:rPr>
              <w:t>p barotitis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r>
              <w:rPr>
                <w:b/>
              </w:rPr>
              <w:t>p rupture</w:t>
            </w:r>
          </w:p>
        </w:tc>
      </w:tr>
      <w:tr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300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5,000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0.00%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0.00%</w:t>
            </w:r>
          </w:p>
        </w:tc>
      </w:tr>
      <w:tr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500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3,000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0.00%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0.00%</w:t>
            </w:r>
          </w:p>
        </w:tc>
      </w:tr>
      <w:tr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1,000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1,500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36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0.04%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0.00%</w:t>
            </w:r>
          </w:p>
        </w:tc>
      </w:tr>
      <w:tr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2,000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750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59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0.51%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0.00%</w:t>
            </w:r>
          </w:p>
        </w:tc>
      </w:tr>
      <w:tr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3,000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500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99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1.51%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0.00%</w:t>
            </w:r>
          </w:p>
        </w:tc>
      </w:tr>
      <w:tr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5,000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300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274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7.19%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0.17%</w:t>
            </w:r>
          </w:p>
        </w:tc>
      </w:tr>
      <w:tr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7,500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200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363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9.71%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1.00%</w:t>
            </w:r>
          </w:p>
        </w:tc>
      </w:tr>
      <w:tr>
        <w:tc>
          <w:tcPr>
            <w:tcW w:type="dxa" w:w="230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10,000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150</w:t>
            </w:r>
          </w:p>
        </w:tc>
        <w:tc>
          <w:tcPr>
            <w:tcW w:type="dxa" w:w="18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405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9.90%</w:t>
            </w:r>
          </w:p>
        </w:tc>
        <w:tc>
          <w:tcPr>
            <w:tcW w:type="dxa" w:w="15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Arial" w:hAnsi="Arial"/>
                <w:sz w:val="20"/>
              </w:rPr>
              <w:t>1.57%</w:t>
            </w:r>
          </w:p>
        </w:tc>
      </w:tr>
    </w:tbl>
    <w:p>
      <w:r>
        <w:rPr>
          <w:rFonts w:ascii="Arial" w:hAnsi="Arial"/>
          <w:i/>
          <w:sz w:val="18"/>
        </w:rPr>
        <w:t>p barotitis, per-exposure barotitis probability; p rupture, per-exposure tympanic-membrane rupture probability. Probabilities are computed by the three-threshold cumulative-hazard model described in Section 2.7 of the manuscript.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