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6d7e50333428df522d639b161eabbeb38c63d2"/>
    <w:p>
      <w:pPr>
        <w:pStyle w:val="Heading1"/>
      </w:pPr>
      <w:r>
        <w:t xml:space="preserve">Highlights — Advances in Space Research submission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3–5 bullet points, ≤ 85 characters each (including spaces).</w:t>
      </w:r>
    </w:p>
    <w:p>
      <w:pPr>
        <w:numPr>
          <w:ilvl w:val="0"/>
          <w:numId w:val="1001"/>
        </w:numPr>
        <w:pStyle w:val="Compact"/>
      </w:pPr>
      <w:r>
        <w:t xml:space="preserve">First Bayesian MCDA pipeline for analog-astronaut crew selection</w:t>
      </w:r>
    </w:p>
    <w:p>
      <w:pPr>
        <w:numPr>
          <w:ilvl w:val="0"/>
          <w:numId w:val="1001"/>
        </w:numPr>
        <w:pStyle w:val="Compact"/>
      </w:pPr>
      <w:r>
        <w:t xml:space="preserve">First formal mapping of analog Monte Carlo to NASA HSRB JSC-66705 Rev A grid</w:t>
      </w:r>
    </w:p>
    <w:p>
      <w:pPr>
        <w:numPr>
          <w:ilvl w:val="0"/>
          <w:numId w:val="1001"/>
        </w:numPr>
        <w:pStyle w:val="Compact"/>
      </w:pPr>
      <w:r>
        <w:t xml:space="preserve">100-condition IMM Calculator reproduces K15 Table 1 at T = 100,000 trials</w:t>
      </w:r>
    </w:p>
    <w:p>
      <w:pPr>
        <w:numPr>
          <w:ilvl w:val="0"/>
          <w:numId w:val="1001"/>
        </w:numPr>
        <w:pStyle w:val="Compact"/>
      </w:pPr>
      <w:r>
        <w:t xml:space="preserve">Non-circular sensitivity: tier-A-only conditions reproduce issHMS CHI within CI₉₅</w:t>
      </w:r>
    </w:p>
    <w:p>
      <w:pPr>
        <w:numPr>
          <w:ilvl w:val="0"/>
          <w:numId w:val="1001"/>
        </w:numPr>
        <w:pStyle w:val="Compact"/>
      </w:pPr>
      <w:r>
        <w:t xml:space="preserve">MIT-licensed TypeScript artifact with CI-blocking K15 acceptance gate and Zenodo DOI</w:t>
      </w:r>
    </w:p>
    <w:bookmarkEnd w:id="20"/>
    <w:sectPr>
      <w:footerReference r:id="rId9" w:type="default"/>
      <w:pgSz w:h="16838" w:orient="portrait" w:w="11906"/>
      <w:pgMar w:bottom="1417" w:footer="720" w:gutter="0" w:header="720" w:left="1417" w:right="1417" w:top="1417"/>
      <w:lnNumType w:countBy="5" w:restart="continuous" w:start="1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Normal" w:type="paragraph">
    <w:name w:val="Normal"/>
    <w:qFormat/>
    <w:pPr>
      <w:spacing w:after="0" w:before="0" w:line="480" w:lineRule="auto"/>
      <w:jc w:val="left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BodyText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2" w:type="paragraph">
    <w:name w:val="Heading 2"/>
    <w:basedOn w:val="Normal"/>
    <w:next w:val="BodyText"/>
    <w:qFormat/>
    <w:pPr>
      <w:spacing w:after="80" w:before="20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3" w:type="paragraph">
    <w:name w:val="Heading 3"/>
    <w:basedOn w:val="Normal"/>
    <w:next w:val="BodyText"/>
    <w:qFormat/>
    <w:pPr>
      <w:spacing w:after="60" w:before="160" w:line="360" w:lineRule="auto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styleId="Abstract" w:type="paragraph">
    <w:name w:val="Abstract"/>
    <w:basedOn w:val="Normal"/>
    <w:qFormat/>
    <w:pPr>
      <w:spacing w:after="0" w:before="0" w:line="480" w:lineRule="auto"/>
      <w:ind w:left="720" w:right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Caption" w:type="paragraph">
    <w:name w:val="Caption"/>
    <w:basedOn w:val="Normal"/>
    <w:qFormat/>
    <w:pPr>
      <w:spacing w:after="120" w:before="60" w:line="240" w:lineRule="auto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styleId="SourceCode" w:type="paragraph">
    <w:name w:val="Source Code"/>
    <w:basedOn w:val="Normal"/>
    <w:qFormat/>
    <w:pPr>
      <w:spacing w:after="60" w:before="60" w:line="240" w:lineRule="auto"/>
    </w:pPr>
    <w:rPr>
      <w:rFonts w:ascii="Courier New" w:cs="Courier New" w:eastAsia="Courier New" w:hAnsi="Courier New"/>
      <w:sz w:val="18"/>
      <w:szCs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2026-05-31T00:24:16Z</dcterms:created>
  <dcterms:modified xsi:type="dcterms:W3CDTF">2026-05-31T00:24:16Z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