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i w:val="0"/>
          <w:color w:val="1F3864"/>
          <w:sz w:val="48"/>
        </w:rPr>
        <w:t>SAST Security Assessment Report</w:t>
      </w:r>
    </w:p>
    <w:p>
      <w:pPr>
        <w:jc w:val="center"/>
      </w:pPr>
      <w:r>
        <w:rPr>
          <w:rFonts w:ascii="Calibri" w:hAnsi="Calibri"/>
          <w:b/>
          <w:i w:val="0"/>
          <w:color w:val="2E74B5"/>
          <w:sz w:val="32"/>
        </w:rPr>
        <w:t>AutoSecForge Pro v12</w:t>
      </w:r>
    </w:p>
    <w:p/>
    <w:p>
      <w:pPr>
        <w:jc w:val="center"/>
      </w:pPr>
      <w:r>
        <w:rPr>
          <w:rFonts w:ascii="Calibri" w:hAnsi="Calibri"/>
          <w:b w:val="0"/>
          <w:i w:val="0"/>
          <w:color w:val="595959"/>
          <w:sz w:val="20"/>
        </w:rPr>
        <w:t>Date: June 07, 2026    |    Classification: CONFIDENTIAL</w:t>
      </w:r>
    </w:p>
    <w:p>
      <w:r>
        <w:br w:type="page"/>
      </w:r>
    </w:p>
    <w:p>
      <w:pPr>
        <w:spacing w:before="280" w:after="80"/>
        <w:pBdr>
          <w:bottom w:val="single" w:sz="6" w:space="1" w:color="2E74B5"/>
        </w:pBdr>
      </w:pPr>
      <w:r>
        <w:rPr>
          <w:rFonts w:ascii="Calibri" w:hAnsi="Calibri"/>
          <w:b/>
          <w:i w:val="0"/>
          <w:color w:val="1F3864"/>
          <w:sz w:val="36"/>
        </w:rPr>
        <w:t>1. Executive Summary</w:t>
      </w:r>
    </w:p>
    <w:p>
      <w:pPr>
        <w:spacing w:after="80"/>
      </w:pPr>
      <w:r>
        <w:rPr>
          <w:rFonts w:ascii="Calibri" w:hAnsi="Calibri"/>
          <w:b w:val="0"/>
          <w:i w:val="0"/>
          <w:sz w:val="20"/>
        </w:rPr>
        <w:t>A Static Application Security Testing (SAST) scan was performed on the AutoSecForge Pro v12 codebase. The scan covered PHP application code, Node.js MCP server, Python AI agent, Apache configuration, Docker infrastructure, and environment configuration files.</w:t>
      </w:r>
    </w:p>
    <w:p>
      <w:pPr>
        <w:spacing w:after="80"/>
      </w:pPr>
      <w:r>
        <w:rPr>
          <w:rFonts w:ascii="Calibri" w:hAnsi="Calibri"/>
          <w:b w:val="0"/>
          <w:i w:val="0"/>
          <w:sz w:val="20"/>
        </w:rPr>
        <w:t>A total of 20 vulnerabilities were identified. Three Critical-severity issues directly break authentication and CSRF protection due to undefined security functions. Seven High-severity issues include hardcoded credentials and OS command injection in the scan engine. The application must not be deployed to production until all Critical and High findings are remediated.</w:t>
      </w:r>
    </w:p>
    <w:p>
      <w:pPr>
        <w:spacing w:before="160" w:after="80"/>
      </w:pPr>
      <w:r>
        <w:rPr>
          <w:rFonts w:ascii="Calibri" w:hAnsi="Calibri"/>
          <w:b/>
          <w:i w:val="0"/>
          <w:color w:val="2E74B5"/>
          <w:sz w:val="28"/>
        </w:rPr>
        <w:t>Vulnerability Summary</w:t>
      </w:r>
    </w:p>
    <w:tbl>
      <w:tblPr>
        <w:tblStyle w:val="TableGrid"/>
        <w:tblW w:type="auto" w:w="0"/>
        <w:jc w:val="center"/>
        <w:tblLook w:firstColumn="1" w:firstRow="1" w:lastColumn="0" w:lastRow="0" w:noHBand="0" w:noVBand="1" w:val="04A0"/>
      </w:tblPr>
      <w:tblGrid>
        <w:gridCol w:w="5040"/>
        <w:gridCol w:w="216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pPr>
              <w:jc w:val="center"/>
            </w:pPr>
            <w:r>
              <w:rPr>
                <w:rFonts w:ascii="Calibri" w:hAnsi="Calibri"/>
                <w:b/>
                <w:i w:val="0"/>
                <w:color w:val="FFFFFF"/>
                <w:sz w:val="20"/>
              </w:rPr>
              <w:t>Severity</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pPr>
              <w:jc w:val="center"/>
            </w:pPr>
            <w:r>
              <w:rPr>
                <w:rFonts w:ascii="Calibri" w:hAnsi="Calibri"/>
                <w:b/>
                <w:i w:val="0"/>
                <w:color w:val="FFFFFF"/>
                <w:sz w:val="20"/>
              </w:rPr>
              <w:t>Count</w:t>
            </w:r>
          </w:p>
        </w:tc>
      </w:tr>
      <w:tr>
        <w:tc>
          <w:tcPr>
            <w:tcW w:type="dxa" w:w="5040"/>
            <w:shd w:val="clear" w:color="auto" w:fill="C00000"/>
            <w:tcBorders>
              <w:top w:val="single" w:sz="4" w:space="0" w:color="C00000"/>
              <w:left w:val="single" w:sz="4" w:space="0" w:color="C00000"/>
              <w:bottom w:val="single" w:sz="4" w:space="0" w:color="C00000"/>
              <w:right w:val="single" w:sz="4" w:space="0" w:color="C00000"/>
            </w:tcBorders>
          </w:tcPr>
          <w:p>
            <w:pPr>
              <w:jc w:val="center"/>
            </w:pPr>
            <w:r>
              <w:rPr>
                <w:rFonts w:ascii="Calibri" w:hAnsi="Calibri"/>
                <w:b w:val="0"/>
                <w:i w:val="0"/>
                <w:color w:val="FFFFFF"/>
                <w:sz w:val="20"/>
              </w:rPr>
              <w:t>Critical</w:t>
            </w:r>
          </w:p>
        </w:tc>
        <w:tc>
          <w:tcPr>
            <w:tcW w:type="dxa" w:w="2160"/>
            <w:shd w:val="clear" w:color="auto" w:fill="C00000"/>
            <w:tcBorders>
              <w:top w:val="single" w:sz="4" w:space="0" w:color="C00000"/>
              <w:left w:val="single" w:sz="4" w:space="0" w:color="C00000"/>
              <w:bottom w:val="single" w:sz="4" w:space="0" w:color="C00000"/>
              <w:right w:val="single" w:sz="4" w:space="0" w:color="C00000"/>
            </w:tcBorders>
          </w:tcPr>
          <w:p>
            <w:pPr>
              <w:jc w:val="center"/>
            </w:pPr>
            <w:r>
              <w:rPr>
                <w:rFonts w:ascii="Calibri" w:hAnsi="Calibri"/>
                <w:b w:val="0"/>
                <w:i w:val="0"/>
                <w:color w:val="FFFFFF"/>
                <w:sz w:val="20"/>
              </w:rPr>
              <w:t>3</w:t>
            </w:r>
          </w:p>
        </w:tc>
      </w:tr>
      <w:tr>
        <w:tc>
          <w:tcPr>
            <w:tcW w:type="dxa" w:w="5040"/>
            <w:shd w:val="clear" w:color="auto" w:fill="ED7D31"/>
            <w:tcBorders>
              <w:top w:val="single" w:sz="4" w:space="0" w:color="ED7D31"/>
              <w:left w:val="single" w:sz="4" w:space="0" w:color="ED7D31"/>
              <w:bottom w:val="single" w:sz="4" w:space="0" w:color="ED7D31"/>
              <w:right w:val="single" w:sz="4" w:space="0" w:color="ED7D31"/>
            </w:tcBorders>
          </w:tcPr>
          <w:p>
            <w:pPr>
              <w:jc w:val="center"/>
            </w:pPr>
            <w:r>
              <w:rPr>
                <w:rFonts w:ascii="Calibri" w:hAnsi="Calibri"/>
                <w:b w:val="0"/>
                <w:i w:val="0"/>
                <w:color w:val="FFFFFF"/>
                <w:sz w:val="20"/>
              </w:rPr>
              <w:t>High</w:t>
            </w:r>
          </w:p>
        </w:tc>
        <w:tc>
          <w:tcPr>
            <w:tcW w:type="dxa" w:w="2160"/>
            <w:shd w:val="clear" w:color="auto" w:fill="ED7D31"/>
            <w:tcBorders>
              <w:top w:val="single" w:sz="4" w:space="0" w:color="ED7D31"/>
              <w:left w:val="single" w:sz="4" w:space="0" w:color="ED7D31"/>
              <w:bottom w:val="single" w:sz="4" w:space="0" w:color="ED7D31"/>
              <w:right w:val="single" w:sz="4" w:space="0" w:color="ED7D31"/>
            </w:tcBorders>
          </w:tcPr>
          <w:p>
            <w:pPr>
              <w:jc w:val="center"/>
            </w:pPr>
            <w:r>
              <w:rPr>
                <w:rFonts w:ascii="Calibri" w:hAnsi="Calibri"/>
                <w:b w:val="0"/>
                <w:i w:val="0"/>
                <w:color w:val="FFFFFF"/>
                <w:sz w:val="20"/>
              </w:rPr>
              <w:t>7</w:t>
            </w:r>
          </w:p>
        </w:tc>
      </w:tr>
      <w:tr>
        <w:tc>
          <w:tcPr>
            <w:tcW w:type="dxa" w:w="5040"/>
            <w:shd w:val="clear" w:color="auto" w:fill="FFD700"/>
            <w:tcBorders>
              <w:top w:val="single" w:sz="4" w:space="0" w:color="FFD700"/>
              <w:left w:val="single" w:sz="4" w:space="0" w:color="FFD700"/>
              <w:bottom w:val="single" w:sz="4" w:space="0" w:color="FFD700"/>
              <w:right w:val="single" w:sz="4" w:space="0" w:color="FFD700"/>
            </w:tcBorders>
          </w:tcPr>
          <w:p>
            <w:pPr>
              <w:jc w:val="center"/>
            </w:pPr>
            <w:r>
              <w:rPr>
                <w:rFonts w:ascii="Calibri" w:hAnsi="Calibri"/>
                <w:b w:val="0"/>
                <w:i w:val="0"/>
                <w:color w:val="000000"/>
                <w:sz w:val="20"/>
              </w:rPr>
              <w:t>Medium</w:t>
            </w:r>
          </w:p>
        </w:tc>
        <w:tc>
          <w:tcPr>
            <w:tcW w:type="dxa" w:w="2160"/>
            <w:shd w:val="clear" w:color="auto" w:fill="FFD700"/>
            <w:tcBorders>
              <w:top w:val="single" w:sz="4" w:space="0" w:color="FFD700"/>
              <w:left w:val="single" w:sz="4" w:space="0" w:color="FFD700"/>
              <w:bottom w:val="single" w:sz="4" w:space="0" w:color="FFD700"/>
              <w:right w:val="single" w:sz="4" w:space="0" w:color="FFD700"/>
            </w:tcBorders>
          </w:tcPr>
          <w:p>
            <w:pPr>
              <w:jc w:val="center"/>
            </w:pPr>
            <w:r>
              <w:rPr>
                <w:rFonts w:ascii="Calibri" w:hAnsi="Calibri"/>
                <w:b w:val="0"/>
                <w:i w:val="0"/>
                <w:color w:val="000000"/>
                <w:sz w:val="20"/>
              </w:rPr>
              <w:t>6</w:t>
            </w:r>
          </w:p>
        </w:tc>
      </w:tr>
      <w:tr>
        <w:tc>
          <w:tcPr>
            <w:tcW w:type="dxa" w:w="5040"/>
            <w:shd w:val="clear" w:color="auto" w:fill="70AD47"/>
            <w:tcBorders>
              <w:top w:val="single" w:sz="4" w:space="0" w:color="70AD47"/>
              <w:left w:val="single" w:sz="4" w:space="0" w:color="70AD47"/>
              <w:bottom w:val="single" w:sz="4" w:space="0" w:color="70AD47"/>
              <w:right w:val="single" w:sz="4" w:space="0" w:color="70AD47"/>
            </w:tcBorders>
          </w:tcPr>
          <w:p>
            <w:pPr>
              <w:jc w:val="center"/>
            </w:pPr>
            <w:r>
              <w:rPr>
                <w:rFonts w:ascii="Calibri" w:hAnsi="Calibri"/>
                <w:b w:val="0"/>
                <w:i w:val="0"/>
                <w:color w:val="FFFFFF"/>
                <w:sz w:val="20"/>
              </w:rPr>
              <w:t>Low</w:t>
            </w:r>
          </w:p>
        </w:tc>
        <w:tc>
          <w:tcPr>
            <w:tcW w:type="dxa" w:w="2160"/>
            <w:shd w:val="clear" w:color="auto" w:fill="70AD47"/>
            <w:tcBorders>
              <w:top w:val="single" w:sz="4" w:space="0" w:color="70AD47"/>
              <w:left w:val="single" w:sz="4" w:space="0" w:color="70AD47"/>
              <w:bottom w:val="single" w:sz="4" w:space="0" w:color="70AD47"/>
              <w:right w:val="single" w:sz="4" w:space="0" w:color="70AD47"/>
            </w:tcBorders>
          </w:tcPr>
          <w:p>
            <w:pPr>
              <w:jc w:val="center"/>
            </w:pPr>
            <w:r>
              <w:rPr>
                <w:rFonts w:ascii="Calibri" w:hAnsi="Calibri"/>
                <w:b w:val="0"/>
                <w:i w:val="0"/>
                <w:color w:val="FFFFFF"/>
                <w:sz w:val="20"/>
              </w:rPr>
              <w:t>4</w:t>
            </w:r>
          </w:p>
        </w:tc>
      </w:tr>
      <w:tr>
        <w:tc>
          <w:tcPr>
            <w:tcW w:type="dxa" w:w="5040"/>
            <w:shd w:val="clear" w:color="auto" w:fill="1F3864"/>
            <w:tcBorders>
              <w:top w:val="single" w:sz="4" w:space="0" w:color="1F3864"/>
              <w:left w:val="single" w:sz="4" w:space="0" w:color="1F3864"/>
              <w:bottom w:val="single" w:sz="4" w:space="0" w:color="1F3864"/>
              <w:right w:val="single" w:sz="4" w:space="0" w:color="1F3864"/>
            </w:tcBorders>
          </w:tcPr>
          <w:p>
            <w:pPr>
              <w:jc w:val="center"/>
            </w:pPr>
            <w:r>
              <w:rPr>
                <w:rFonts w:ascii="Calibri" w:hAnsi="Calibri"/>
                <w:b/>
                <w:i w:val="0"/>
                <w:color w:val="FFFFFF"/>
                <w:sz w:val="20"/>
              </w:rPr>
              <w:t>Total</w:t>
            </w:r>
          </w:p>
        </w:tc>
        <w:tc>
          <w:tcPr>
            <w:tcW w:type="dxa" w:w="2160"/>
            <w:shd w:val="clear" w:color="auto" w:fill="1F3864"/>
            <w:tcBorders>
              <w:top w:val="single" w:sz="4" w:space="0" w:color="1F3864"/>
              <w:left w:val="single" w:sz="4" w:space="0" w:color="1F3864"/>
              <w:bottom w:val="single" w:sz="4" w:space="0" w:color="1F3864"/>
              <w:right w:val="single" w:sz="4" w:space="0" w:color="1F3864"/>
            </w:tcBorders>
          </w:tcPr>
          <w:p>
            <w:pPr>
              <w:jc w:val="center"/>
            </w:pPr>
            <w:r>
              <w:rPr>
                <w:rFonts w:ascii="Calibri" w:hAnsi="Calibri"/>
                <w:b/>
                <w:i w:val="0"/>
                <w:color w:val="FFFFFF"/>
                <w:sz w:val="20"/>
              </w:rPr>
              <w:t>20</w:t>
            </w:r>
          </w:p>
        </w:tc>
      </w:tr>
    </w:tbl>
    <w:p/>
    <w:p>
      <w:pPr>
        <w:spacing w:before="280" w:after="80"/>
        <w:pBdr>
          <w:bottom w:val="single" w:sz="6" w:space="1" w:color="2E74B5"/>
        </w:pBdr>
      </w:pPr>
      <w:r>
        <w:rPr>
          <w:rFonts w:ascii="Calibri" w:hAnsi="Calibri"/>
          <w:b/>
          <w:i w:val="0"/>
          <w:color w:val="1F3864"/>
          <w:sz w:val="36"/>
        </w:rPr>
        <w:t>2. Scope</w:t>
      </w:r>
    </w:p>
    <w:tbl>
      <w:tblPr>
        <w:tblStyle w:val="TableGrid"/>
        <w:tblW w:type="auto" w:w="0"/>
        <w:jc w:val="left"/>
        <w:tblLook w:firstColumn="1" w:firstRow="1" w:lastColumn="0" w:lastRow="0" w:noHBand="0" w:noVBand="1" w:val="04A0"/>
      </w:tblPr>
      <w:tblGrid>
        <w:gridCol w:w="2880"/>
        <w:gridCol w:w="7200"/>
      </w:tblGrid>
      <w:tr>
        <w:tc>
          <w:tcPr>
            <w:tcW w:type="dxa" w:w="4680"/>
            <w:shd w:val="clear" w:color="auto" w:fill="2E74B5"/>
            <w:tcBorders>
              <w:top w:val="single" w:sz="4" w:space="0" w:color="2E74B5"/>
              <w:left w:val="single" w:sz="4" w:space="0" w:color="2E74B5"/>
              <w:bottom w:val="single" w:sz="4" w:space="0" w:color="2E74B5"/>
              <w:right w:val="single" w:sz="4" w:space="0" w:color="2E74B5"/>
            </w:tcBorders>
          </w:tcPr>
          <w:p>
            <w:r>
              <w:rPr>
                <w:rFonts w:ascii="Calibri" w:hAnsi="Calibri"/>
                <w:b/>
                <w:i w:val="0"/>
                <w:color w:val="FFFFFF"/>
                <w:sz w:val="20"/>
              </w:rPr>
              <w:t>Component</w:t>
            </w:r>
          </w:p>
        </w:tc>
        <w:tc>
          <w:tcPr>
            <w:tcW w:type="dxa" w:w="4680"/>
            <w:shd w:val="clear" w:color="auto" w:fill="2E74B5"/>
            <w:tcBorders>
              <w:top w:val="single" w:sz="4" w:space="0" w:color="2E74B5"/>
              <w:left w:val="single" w:sz="4" w:space="0" w:color="2E74B5"/>
              <w:bottom w:val="single" w:sz="4" w:space="0" w:color="2E74B5"/>
              <w:right w:val="single" w:sz="4" w:space="0" w:color="2E74B5"/>
            </w:tcBorders>
          </w:tcPr>
          <w:p>
            <w:r>
              <w:rPr>
                <w:rFonts w:ascii="Calibri" w:hAnsi="Calibri"/>
                <w:b/>
                <w:i w:val="0"/>
                <w:color w:val="FFFFFF"/>
                <w:sz w:val="20"/>
              </w:rPr>
              <w:t>Files Reviewed</w:t>
            </w:r>
          </w:p>
        </w:tc>
      </w:tr>
      <w:tr>
        <w:tc>
          <w:tcPr>
            <w:tcW w:type="dxa" w:w="288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i w:val="0"/>
                <w:sz w:val="19"/>
              </w:rPr>
              <w:t>PHP Application</w:t>
            </w:r>
          </w:p>
        </w:tc>
        <w:tc>
          <w:tcPr>
            <w:tcW w:type="dxa" w:w="720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val="0"/>
                <w:i w:val="0"/>
                <w:sz w:val="19"/>
              </w:rPr>
              <w:t>public/ — entry points, auth, database, helpers, views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sz w:val="19"/>
              </w:rPr>
              <w:t>MCP Server</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sz w:val="19"/>
              </w:rPr>
              <w:t>mcp-server/server.js — Node.js Express API for scan tools</w:t>
            </w:r>
          </w:p>
        </w:tc>
      </w:tr>
      <w:tr>
        <w:tc>
          <w:tcPr>
            <w:tcW w:type="dxa" w:w="288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i w:val="0"/>
                <w:sz w:val="19"/>
              </w:rPr>
              <w:t>AI Agent</w:t>
            </w:r>
          </w:p>
        </w:tc>
        <w:tc>
          <w:tcPr>
            <w:tcW w:type="dxa" w:w="720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val="0"/>
                <w:i w:val="0"/>
                <w:sz w:val="19"/>
              </w:rPr>
              <w:t>ai-agent/ — Python security analysis 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sz w:val="19"/>
              </w:rPr>
              <w:t>Infrastructure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sz w:val="19"/>
              </w:rPr>
              <w:t>Dockerfile, docker-compose.yml, apache-vhost.conf</w:t>
            </w:r>
          </w:p>
        </w:tc>
      </w:tr>
      <w:tr>
        <w:tc>
          <w:tcPr>
            <w:tcW w:type="dxa" w:w="288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i w:val="0"/>
                <w:sz w:val="19"/>
              </w:rPr>
              <w:t>Configuration</w:t>
            </w:r>
          </w:p>
        </w:tc>
        <w:tc>
          <w:tcPr>
            <w:tcW w:type="dxa" w:w="7200"/>
            <w:shd w:val="clear" w:color="auto" w:fill="EBF3FA"/>
            <w:tcBorders>
              <w:top w:val="single" w:sz="4" w:space="0" w:color="CCCCCC"/>
              <w:left w:val="single" w:sz="4" w:space="0" w:color="CCCCCC"/>
              <w:bottom w:val="single" w:sz="4" w:space="0" w:color="CCCCCC"/>
              <w:right w:val="single" w:sz="4" w:space="0" w:color="CCCCCC"/>
            </w:tcBorders>
          </w:tcPr>
          <w:p>
            <w:r>
              <w:rPr>
                <w:rFonts w:ascii="Calibri" w:hAnsi="Calibri"/>
                <w:b w:val="0"/>
                <w:i w:val="0"/>
                <w:sz w:val="19"/>
              </w:rPr>
              <w:t>.env, .env.example, schema.sql</w:t>
            </w:r>
          </w:p>
        </w:tc>
      </w:tr>
    </w:tbl>
    <w:p/>
    <w:p>
      <w:r>
        <w:br w:type="page"/>
      </w:r>
    </w:p>
    <w:p>
      <w:pPr>
        <w:spacing w:before="280" w:after="80"/>
        <w:pBdr>
          <w:bottom w:val="single" w:sz="6" w:space="1" w:color="2E74B5"/>
        </w:pBdr>
      </w:pPr>
      <w:r>
        <w:rPr>
          <w:rFonts w:ascii="Calibri" w:hAnsi="Calibri"/>
          <w:b/>
          <w:i w:val="0"/>
          <w:color w:val="1F3864"/>
          <w:sz w:val="36"/>
        </w:rPr>
        <w:t>3. Detailed Findings</w:t>
      </w:r>
    </w:p>
    <w:p>
      <w:pPr>
        <w:spacing w:before="160" w:after="80"/>
      </w:pPr>
      <w:r>
        <w:rPr>
          <w:rFonts w:ascii="Calibri" w:hAnsi="Calibri"/>
          <w:b/>
          <w:i w:val="0"/>
          <w:color w:val="2E74B5"/>
          <w:sz w:val="28"/>
        </w:rPr>
        <w:t>3.1 Critical Severity</w:t>
      </w:r>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C00000"/>
            <w:tcBorders>
              <w:top w:val="single" w:sz="4" w:space="0" w:color="C00000"/>
              <w:left w:val="single" w:sz="4" w:space="0" w:color="C00000"/>
              <w:bottom w:val="single" w:sz="4" w:space="0" w:color="C00000"/>
              <w:right w:val="single" w:sz="4" w:space="0" w:color="C00000"/>
            </w:tcBorders>
          </w:tcPr>
          <w:p>
            <w:pPr>
              <w:spacing w:before="60" w:after="60"/>
            </w:pPr>
            <w:r>
              <w:rPr>
                <w:rFonts w:ascii="Calibri" w:hAnsi="Calibri"/>
                <w:b/>
                <w:i w:val="0"/>
                <w:color w:val="FFFFFF"/>
                <w:sz w:val="22"/>
              </w:rPr>
              <w:t>[CRITICAL]  Finding #1: Undefined require_role() — Authentication/Authorization Bypass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public/scan_trigger.php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CWE-285 (Improper Authorization)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Authentication / RBAC Logic</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require_role() is called but never defined in any included file. PHP raises a fatal error and the intended role-based access control check never executes, allowing any user — or an unauthenticated request — to reach the scan endpoint.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require_role('admin', 'manager', 'analyst');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Define require_role() in public/src/helpers.php. The function must verify session state and the user's role, then redirect or exit on failure.</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C00000"/>
            <w:tcBorders>
              <w:top w:val="single" w:sz="4" w:space="0" w:color="C00000"/>
              <w:left w:val="single" w:sz="4" w:space="0" w:color="C00000"/>
              <w:bottom w:val="single" w:sz="4" w:space="0" w:color="C00000"/>
              <w:right w:val="single" w:sz="4" w:space="0" w:color="C00000"/>
            </w:tcBorders>
          </w:tcPr>
          <w:p>
            <w:pPr>
              <w:spacing w:before="60" w:after="60"/>
            </w:pPr>
            <w:r>
              <w:rPr>
                <w:rFonts w:ascii="Calibri" w:hAnsi="Calibri"/>
                <w:b/>
                <w:i w:val="0"/>
                <w:color w:val="FFFFFF"/>
                <w:sz w:val="22"/>
              </w:rPr>
              <w:t>[CRITICAL]  Finding #2: Undefined verify_csrf() — CSRF Protection Completely Broken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public/scan_trigger.php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50</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CWE-352 (Cross-Site Request Forgery)</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CSRF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verify_csrf() is called but never defined. The check cannot execute, leaving all POST actions on scan_trigger.php fully CSRF-exploitable. An attacker can craft a page that silently submits scans on behalf of any logged-in victim.</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if (!verify_csrf($_POST['csrf_token'] ?? '')) {</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Implement verify_csrf() in helpers.php: compare $_POST['csrf_token'] against a per-session token stored in $_SESSION['csrf_token'] using hash_equals() for timing-safe comparison.</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C00000"/>
            <w:tcBorders>
              <w:top w:val="single" w:sz="4" w:space="0" w:color="C00000"/>
              <w:left w:val="single" w:sz="4" w:space="0" w:color="C00000"/>
              <w:bottom w:val="single" w:sz="4" w:space="0" w:color="C00000"/>
              <w:right w:val="single" w:sz="4" w:space="0" w:color="C00000"/>
            </w:tcBorders>
          </w:tcPr>
          <w:p>
            <w:pPr>
              <w:spacing w:before="60" w:after="60"/>
            </w:pPr>
            <w:r>
              <w:rPr>
                <w:rFonts w:ascii="Calibri" w:hAnsi="Calibri"/>
                <w:b/>
                <w:i w:val="0"/>
                <w:color w:val="FFFFFF"/>
                <w:sz w:val="22"/>
              </w:rPr>
              <w:t>[CRITICAL]  Finding #3: Undefined csrf_token() — Token Generation Missing</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public/scan_trigger.php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104</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CWE-352 (Cross-Site Request Forgery)</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CSRF Token Generation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csrf_token() is never defined. The hidden field always renders empty, so no valid token is ever issued — the CSRF mechanism is entirely non-functional.</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&lt;input type='hidden' name='csrf_token' value='&lt;?= htmlspecialchars(csrf_token()) ?&gt;'&gt;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Define csrf_token() to generate and store a cryptographically random token: $_SESSION['csrf_token'] = bin2hex(random_bytes(32)); return the stored token.</w:t>
            </w:r>
          </w:p>
        </w:tc>
      </w:tr>
    </w:tbl>
    <w:p/>
    <w:p>
      <w:pPr>
        <w:spacing w:before="160" w:after="80"/>
      </w:pPr>
      <w:r>
        <w:rPr>
          <w:rFonts w:ascii="Calibri" w:hAnsi="Calibri"/>
          <w:b/>
          <w:i w:val="0"/>
          <w:color w:val="2E74B5"/>
          <w:sz w:val="28"/>
        </w:rPr>
        <w:t>3.2 High Severity</w:t>
      </w:r>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#4: Hardcoded Credentials in .env</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.env</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1–12</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CWE-798 (Hard-Coded Credentials)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Hardcoded Secrets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.env file contains weak default passwords and placeholder API keys that are likely unchanged in test/production environments. If the file is committed to version control, all credentials are exposed.</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DB_PASSWORD="ChangeMe123!"</w:t>
              <w:br/>
              <w:t>DB_ROOT_PASSWORD="root123"</w:t>
              <w:br/>
              <w:t>ZAP_API_KEY="ZapKeyChangeMe"</w:t>
              <w:br/>
              <w:t>APP_SECRET="AppSecretChangeMe"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Rotate all credentials immediately. Add .env to .gitignore. Use only .env.example for templates. Enforce a secrets scanning tool (e.g., git-secrets, truffleHog) in CI.</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#5: Command Injection — nmap in MCP Server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mcp-server/server.js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71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CWE-78 (OS Command Injection)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Command Injection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target parameter is concatenated into a shell command string executed via sh -c. Even with validateTarget(), a bypass allows shell metacharacters to execute arbitrary OS commands inside the container.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const cmd = `nmap -oX - ${safeFlags} ${target}`;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Replace shell string construction with an array-based execFile() call: execFile('nmap', ['-oX', '-', ...safeFlags, target]). This eliminates shell interpretation entirely.</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#6: Command Injection — sqlmap URL Parameter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mcp-server/server.js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101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CWE-78 (OS Command Injection)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Command Injection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URL is double-quoted but can still contain ", backticks, or $() to escape the quoting. Example: https://x.com" &amp; whoami # executes arbitrary commands as the container user.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const cmd = `sqlmap -u "${url}" --level=${safeLevel} --batch ...`;</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Use execFile('sqlmap', ['-u', url, '--level', safeLevel, ...]) instead of shell string interpolation.</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#7: Missing CSRF Protection on Password Change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public/change_password.php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CWE-352 (CSRF)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CSRF Token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POST handler for changing a user's password contains no CSRF token field or validation. An attacker can force a logged-in victim to change their password via a hidden form on a malicious page.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$new=$_POST['new']; $con=$_POST['con'];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Add a CSRF token hidden field to the form and validate it server-side using the same verify_csrf() function defined in Finding #2.</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#8: Overly Permissive CORS Configuration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mcp-server/server.js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18</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CWE-942 (Permissive Cross-Domain Policy)</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CORS Misconfiguration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CORS trust is based solely on a Docker container hostname with no IP pinning. DNS spoofing or container name collision could allow unauthorized cross-origin requests to the MCP API.</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app.use(cors({ origin: ['http://security-dashboard-app'] }));</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Restrict origins to explicit hostnames/IPs and enforce HTTPS. Consider removing CORS entirely if the MCP server is internal-only.</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ED7D31"/>
            <w:tcBorders>
              <w:top w:val="single" w:sz="4" w:space="0" w:color="ED7D31"/>
              <w:left w:val="single" w:sz="4" w:space="0" w:color="ED7D31"/>
              <w:bottom w:val="single" w:sz="4" w:space="0" w:color="ED7D31"/>
              <w:right w:val="single" w:sz="4" w:space="0" w:color="ED7D31"/>
            </w:tcBorders>
          </w:tcPr>
          <w:p>
            <w:pPr>
              <w:spacing w:before="60" w:after="60"/>
            </w:pPr>
            <w:r>
              <w:rPr>
                <w:rFonts w:ascii="Calibri" w:hAnsi="Calibri"/>
                <w:b/>
                <w:i w:val="0"/>
                <w:color w:val="FFFFFF"/>
                <w:sz w:val="22"/>
              </w:rPr>
              <w:t>[HIGH]  Finding #9: Relative Path Load of .env — Path Traversal Risk</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public/src/Database.php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6</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CWE-427 (Uncontrolled Search Path)</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Insecure File Load</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.env file is loaded via a relative path without validating the canonical path. If an attacker can write a file at the resolved location, the application will load attacker-controlled configuration.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$env = parse_ini_file(__DIR__ . '/../.env');</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Use realpath() to canonicalize the path and assert it resolves to the expected absolute location before calling parse_ini_file().</w:t>
            </w:r>
          </w:p>
        </w:tc>
      </w:tr>
    </w:tbl>
    <w:p/>
    <w:p>
      <w:pPr>
        <w:spacing w:before="160" w:after="80"/>
      </w:pPr>
      <w:r>
        <w:rPr>
          <w:rFonts w:ascii="Calibri" w:hAnsi="Calibri"/>
          <w:b/>
          <w:i w:val="0"/>
          <w:color w:val="2E74B5"/>
          <w:sz w:val="28"/>
        </w:rPr>
        <w:t>3.3 Medium Severity</w:t>
      </w:r>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#10: Reflected XSS — Unescaped $error in Login Page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public/login.php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CWE-79 (Cross-Site Scripting)</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Reflected XSS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$error is echoed directly into HTML without htmlspecialchars(). If any code path populates $error with user-supplied data, a reflected XSS attack is trivially achievable.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&lt;?php if($error) echo "&lt;div class='alert alert-danger'&gt;$error&lt;/div&gt;"; ?&gt;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Replace with: echo '&lt;div class="alert alert-danger"&gt;' . htmlspecialchars($error, ENT_QUOTES, 'UTF-8') . '&lt;/div&gt;';</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#11: Session Fixation — No Session ID Regeneration After Login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public/src/auth.php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N/A</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CWE-384 (Session Fixation)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Session Management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session_start() is called without regenerating the session ID upon successful login. An attacker who pre-sets a known session ID can hijack the session as soon as the victim authenticates.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session_start(); // no session_regenerate_id(true) after auth</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Call session_regenerate_id(true) immediately after a successful authentication check to bind the session to a new ID.</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#12: No Password Complexity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public/change_password.php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CWE-521 (Weak Password Requirements)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Insufficient Input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No minimum length or complexity check is performed before hashing. A user can set a single-character password.</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$new=$_POST['new']; if($new!==$con) $err='Passwords do not match';</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Enforce minimum length (e.g., &gt;= 12 characters) and basic complexity rules before accepting a new password.</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#13: Database Error Message Exposed to User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public/scan_trigger.php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45</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CWE-209 (Information Exposure via Error Messages)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Information Disclosure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Raw exception messages (which can contain table names, SQL fragments, and file paths) are rendered directly in the page response, aiding attacker reconnaissance.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$error = "Failed to load projects: " . $e-&gt;getMessage();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Show a generic error message to users. Log the full exception server-side with error_log() or a logging library.</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#14: IPv6 / SSRF Bypass in Hostname Validation Regex</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mcp-server/server.js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25</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CWE-20 (Improper Input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Input Validation Bypass / SSRF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regex does not handle IPv6 addresses in brackets (e.g. [::1] or [::ffff:169.254.0.0]). Passing such addresses bypasses validation and can be used for SSRF against internal metadata services or the Docker network.</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const HOSTNAME_RE = /^[a-zA-Z0-9]([a-zA-Z0-9\-]{0,61}...$/;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Explicitly reject bracket-notation IPv6 and loopback/link-local ranges. Use a well-tested URL validation library.</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FFD700"/>
            <w:tcBorders>
              <w:top w:val="single" w:sz="4" w:space="0" w:color="FFD700"/>
              <w:left w:val="single" w:sz="4" w:space="0" w:color="FFD700"/>
              <w:bottom w:val="single" w:sz="4" w:space="0" w:color="FFD700"/>
              <w:right w:val="single" w:sz="4" w:space="0" w:color="FFD700"/>
            </w:tcBorders>
          </w:tcPr>
          <w:p>
            <w:pPr>
              <w:spacing w:before="60" w:after="60"/>
            </w:pPr>
            <w:r>
              <w:rPr>
                <w:rFonts w:ascii="Calibri" w:hAnsi="Calibri"/>
                <w:b/>
                <w:i w:val="0"/>
                <w:color w:val="000000"/>
                <w:sz w:val="22"/>
              </w:rPr>
              <w:t>[MEDIUM]  Finding #15: No Logging of Authentication Events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public/login.php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N/A</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CWE-778 (Insufficient Logging)</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Audit Logging</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Neither successful nor failed login attempts are logged. Brute-force attacks and credential stuffing go completely undetected, and post-incident forensics are impossible.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 No log entry on failed or successful login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Log all authentication events (timestamp, IP, username, outcome) to a write-protected log file or SIEM.</w:t>
            </w:r>
          </w:p>
        </w:tc>
      </w:tr>
    </w:tbl>
    <w:p/>
    <w:p>
      <w:pPr>
        <w:spacing w:before="160" w:after="80"/>
      </w:pPr>
      <w:r>
        <w:rPr>
          <w:rFonts w:ascii="Calibri" w:hAnsi="Calibri"/>
          <w:b/>
          <w:i w:val="0"/>
          <w:color w:val="2E74B5"/>
          <w:sz w:val="28"/>
        </w:rPr>
        <w:t>3.4 Low Severity</w:t>
      </w:r>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70AD47"/>
            <w:tcBorders>
              <w:top w:val="single" w:sz="4" w:space="0" w:color="70AD47"/>
              <w:left w:val="single" w:sz="4" w:space="0" w:color="70AD47"/>
              <w:bottom w:val="single" w:sz="4" w:space="0" w:color="70AD47"/>
              <w:right w:val="single" w:sz="4" w:space="0" w:color="70AD47"/>
            </w:tcBorders>
          </w:tcPr>
          <w:p>
            <w:pPr>
              <w:spacing w:before="60" w:after="60"/>
            </w:pPr>
            <w:r>
              <w:rPr>
                <w:rFonts w:ascii="Calibri" w:hAnsi="Calibri"/>
                <w:b/>
                <w:i w:val="0"/>
                <w:color w:val="FFFFFF"/>
                <w:sz w:val="22"/>
              </w:rPr>
              <w:t>[LOW]  Finding #16: unsafe-inline in Content Security Policy</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apache-vhost.conf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CWE-693 (Protection Mechanism Failure)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Weak Security Header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'unsafe-inline' allows any inline script or style, negating the XSS protection that CSP provides.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script-src 'self' 'unsafe-inline'; style-src 'self' 'unsafe-inline'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Replace 'unsafe-inline' with per-element nonces or hashes. Also add: object-src 'none'; frame-ancestors 'none'.</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70AD47"/>
            <w:tcBorders>
              <w:top w:val="single" w:sz="4" w:space="0" w:color="70AD47"/>
              <w:left w:val="single" w:sz="4" w:space="0" w:color="70AD47"/>
              <w:bottom w:val="single" w:sz="4" w:space="0" w:color="70AD47"/>
              <w:right w:val="single" w:sz="4" w:space="0" w:color="70AD47"/>
            </w:tcBorders>
          </w:tcPr>
          <w:p>
            <w:pPr>
              <w:spacing w:before="60" w:after="60"/>
            </w:pPr>
            <w:r>
              <w:rPr>
                <w:rFonts w:ascii="Calibri" w:hAnsi="Calibri"/>
                <w:b/>
                <w:i w:val="0"/>
                <w:color w:val="FFFFFF"/>
                <w:sz w:val="22"/>
              </w:rPr>
              <w:t>[LOW]  Finding #17: Missing Strict-Transport-Security Header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apache-vhost.conf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N/A</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CWE-295 (Improper Certificate Validation)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Missing Security Header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Without HSTS, browsers may connect over HTTP on first visit, allowing MITM downgrade attacks.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 HSTS header not present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Add: Header always set Strict-Transport-Security "max-age=31536000; includeSubDomains; preload"</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70AD47"/>
            <w:tcBorders>
              <w:top w:val="single" w:sz="4" w:space="0" w:color="70AD47"/>
              <w:left w:val="single" w:sz="4" w:space="0" w:color="70AD47"/>
              <w:bottom w:val="single" w:sz="4" w:space="0" w:color="70AD47"/>
              <w:right w:val="single" w:sz="4" w:space="0" w:color="70AD47"/>
            </w:tcBorders>
          </w:tcPr>
          <w:p>
            <w:pPr>
              <w:spacing w:before="60" w:after="60"/>
            </w:pPr>
            <w:r>
              <w:rPr>
                <w:rFonts w:ascii="Calibri" w:hAnsi="Calibri"/>
                <w:b/>
                <w:i w:val="0"/>
                <w:color w:val="FFFFFF"/>
                <w:sz w:val="22"/>
              </w:rPr>
              <w:t>[LOW]  Finding #18: VirtualHost Serves Only HTTP (No HTTPS Enforcement)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apache-vhost.conf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CWE-319 (Cleartext Transmission of Sensitive Information)</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Insecure Transport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The Apache configuration only defines a port-80 VirtualHost. All credentials and session cookies are transmitted in cleartext.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&lt;VirtualHost *:80&gt;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Add a port-443 VirtualHost with TLS certificates. Redirect all HTTP traffic to HTTPS via a 301 redirect.</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70AD47"/>
            <w:tcBorders>
              <w:top w:val="single" w:sz="4" w:space="0" w:color="70AD47"/>
              <w:left w:val="single" w:sz="4" w:space="0" w:color="70AD47"/>
              <w:bottom w:val="single" w:sz="4" w:space="0" w:color="70AD47"/>
              <w:right w:val="single" w:sz="4" w:space="0" w:color="70AD47"/>
            </w:tcBorders>
          </w:tcPr>
          <w:p>
            <w:pPr>
              <w:spacing w:before="60" w:after="60"/>
            </w:pPr>
            <w:r>
              <w:rPr>
                <w:rFonts w:ascii="Calibri" w:hAnsi="Calibri"/>
                <w:b/>
                <w:i w:val="0"/>
                <w:color w:val="FFFFFF"/>
                <w:sz w:val="22"/>
              </w:rPr>
              <w:t>[LOW]  Finding #19: Rate Limit Not Backed by Persistent Store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mcp-server/server.js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22</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CWE-770 (Allocation of Resources Without Limits)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Insufficient Rate Limiting</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Rate limiting uses in-process memory with no Redis/persistent store. On multi-instance deployments or process restart it resets, and distributed attacks from multiple IPs easily bypass it.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const scanLimiter = rateLimit({ windowMs: 60_000, max: 20, ... });</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Back the rate limiter with a Redis store and add per-user/session limits in addition to per-IP.</w:t>
            </w:r>
          </w:p>
        </w:tc>
      </w:tr>
    </w:tbl>
    <w:p/>
    <w:tbl>
      <w:tblPr>
        <w:tblStyle w:val="TableGrid"/>
        <w:tblW w:type="auto" w:w="0"/>
        <w:jc w:val="left"/>
        <w:tblLook w:firstColumn="1" w:firstRow="1" w:lastColumn="0" w:lastRow="0" w:noHBand="0" w:noVBand="1" w:val="04A0"/>
      </w:tblPr>
      <w:tblGrid>
        <w:gridCol w:w="2160"/>
        <w:gridCol w:w="7920"/>
      </w:tblGrid>
      <w:tr>
        <w:tc>
          <w:tcPr>
            <w:tcW w:type="dxa" w:w="9360"/>
            <w:gridSpan w:val="2"/>
            <w:shd w:val="clear" w:color="auto" w:fill="70AD47"/>
            <w:tcBorders>
              <w:top w:val="single" w:sz="4" w:space="0" w:color="70AD47"/>
              <w:left w:val="single" w:sz="4" w:space="0" w:color="70AD47"/>
              <w:bottom w:val="single" w:sz="4" w:space="0" w:color="70AD47"/>
              <w:right w:val="single" w:sz="4" w:space="0" w:color="70AD47"/>
            </w:tcBorders>
          </w:tcPr>
          <w:p>
            <w:pPr>
              <w:spacing w:before="60" w:after="60"/>
            </w:pPr>
            <w:r>
              <w:rPr>
                <w:rFonts w:ascii="Calibri" w:hAnsi="Calibri"/>
                <w:b/>
                <w:i w:val="0"/>
                <w:color w:val="FFFFFF"/>
                <w:sz w:val="22"/>
              </w:rPr>
              <w:t>[LOW]  Finding #20: Missing object-src and frame-ancestors in CSP</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File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apache-vhost.conf</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Line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11</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CWE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CWE-693 (Protection Mechanism Failure)</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Type</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Incomplete Security Header</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Description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Absence of object-src allows plugin-based XSS vectors. Absence of frame-ancestors allows the application to be framed for clickjacking attacks.</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Code Snippet</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ourier New" w:hAnsi="Courier New"/>
                <w:color w:val="1F3864"/>
                <w:sz w:val="17"/>
              </w:rPr>
              <w:t># object-src and frame-ancestors directives absent</w:t>
            </w:r>
          </w:p>
        </w:tc>
      </w:tr>
      <w:tr>
        <w:tc>
          <w:tcPr>
            <w:tcW w:type="dxa" w:w="2160"/>
            <w:shd w:val="clear" w:color="auto" w:fill="DEEAF1"/>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i w:val="0"/>
                <w:color w:val="1F3864"/>
                <w:sz w:val="18"/>
              </w:rPr>
              <w:t>Remediation</w:t>
            </w:r>
          </w:p>
        </w:tc>
        <w:tc>
          <w:tcPr>
            <w:tcW w:type="dxa" w:w="7920"/>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b w:val="0"/>
                <w:i w:val="0"/>
                <w:sz w:val="19"/>
              </w:rPr>
              <w:t>Add object-src 'none'; frame-ancestors 'none'; to the CSP header, and also add X-Frame-Options: DENY as a fallback.</w:t>
            </w:r>
          </w:p>
        </w:tc>
      </w:tr>
    </w:tbl>
    <w:p/>
    <w:p>
      <w:r>
        <w:br w:type="page"/>
      </w:r>
    </w:p>
    <w:p>
      <w:pPr>
        <w:spacing w:before="280" w:after="80"/>
        <w:pBdr>
          <w:bottom w:val="single" w:sz="6" w:space="1" w:color="2E74B5"/>
        </w:pBdr>
      </w:pPr>
      <w:r>
        <w:rPr>
          <w:rFonts w:ascii="Calibri" w:hAnsi="Calibri"/>
          <w:b/>
          <w:i w:val="0"/>
          <w:color w:val="1F3864"/>
          <w:sz w:val="36"/>
        </w:rPr>
        <w:t>4. Top Remediation Priorities</w:t>
      </w:r>
    </w:p>
    <w:p>
      <w:pPr>
        <w:spacing w:after="80"/>
      </w:pPr>
      <w:r>
        <w:rPr>
          <w:rFonts w:ascii="Calibri" w:hAnsi="Calibri"/>
          <w:b/>
          <w:i w:val="0"/>
          <w:color w:val="1F3864"/>
          <w:sz w:val="21"/>
        </w:rPr>
        <w:t>1 — Immediate (this sprint)</w:t>
      </w:r>
    </w:p>
    <w:p>
      <w:pPr>
        <w:pStyle w:val="ListBullet"/>
        <w:spacing w:after="40"/>
      </w:pPr>
      <w:r>
        <w:rPr>
          <w:rFonts w:ascii="Calibri" w:hAnsi="Calibri"/>
          <w:b w:val="0"/>
          <w:i w:val="0"/>
          <w:sz w:val="20"/>
        </w:rPr>
        <w:t>Define require_role(), verify_csrf(), and csrf_token() in public/src/helpers.php</w:t>
      </w:r>
    </w:p>
    <w:p>
      <w:pPr>
        <w:pStyle w:val="ListBullet"/>
        <w:spacing w:after="40"/>
      </w:pPr>
      <w:r>
        <w:rPr>
          <w:rFonts w:ascii="Calibri" w:hAnsi="Calibri"/>
          <w:b w:val="0"/>
          <w:i w:val="0"/>
          <w:sz w:val="20"/>
        </w:rPr>
        <w:t>Add CSRF token to change_password.php form and validate server-side</w:t>
      </w:r>
    </w:p>
    <w:p>
      <w:pPr>
        <w:pStyle w:val="ListBullet"/>
        <w:spacing w:after="40"/>
      </w:pPr>
      <w:r>
        <w:rPr>
          <w:rFonts w:ascii="Calibri" w:hAnsi="Calibri"/>
          <w:b w:val="0"/>
          <w:i w:val="0"/>
          <w:sz w:val="20"/>
        </w:rPr>
        <w:t>Rotate all .env credentials; add .env to .gitignore</w:t>
      </w:r>
    </w:p>
    <w:p>
      <w:pPr>
        <w:spacing w:after="80"/>
      </w:pPr>
      <w:r>
        <w:rPr>
          <w:rFonts w:ascii="Calibri" w:hAnsi="Calibri"/>
          <w:b/>
          <w:i w:val="0"/>
          <w:color w:val="1F3864"/>
          <w:sz w:val="21"/>
        </w:rPr>
        <w:t>2 — Short-term (next sprint)</w:t>
      </w:r>
    </w:p>
    <w:p>
      <w:pPr>
        <w:pStyle w:val="ListBullet"/>
        <w:spacing w:after="40"/>
      </w:pPr>
      <w:r>
        <w:rPr>
          <w:rFonts w:ascii="Calibri" w:hAnsi="Calibri"/>
          <w:b w:val="0"/>
          <w:i w:val="0"/>
          <w:sz w:val="20"/>
        </w:rPr>
        <w:t>Replace shell string commands in mcp-server/server.js with execFile() arrays</w:t>
      </w:r>
    </w:p>
    <w:p>
      <w:pPr>
        <w:pStyle w:val="ListBullet"/>
        <w:spacing w:after="40"/>
      </w:pPr>
      <w:r>
        <w:rPr>
          <w:rFonts w:ascii="Calibri" w:hAnsi="Calibri"/>
          <w:b w:val="0"/>
          <w:i w:val="0"/>
          <w:sz w:val="20"/>
        </w:rPr>
        <w:t>Call session_regenerate_id(true) after successful login in auth.php</w:t>
      </w:r>
    </w:p>
    <w:p>
      <w:pPr>
        <w:pStyle w:val="ListBullet"/>
        <w:spacing w:after="40"/>
      </w:pPr>
      <w:r>
        <w:rPr>
          <w:rFonts w:ascii="Calibri" w:hAnsi="Calibri"/>
          <w:b w:val="0"/>
          <w:i w:val="0"/>
          <w:sz w:val="20"/>
        </w:rPr>
        <w:t>Wrap all exception messages; log details server-side only</w:t>
      </w:r>
    </w:p>
    <w:p>
      <w:pPr>
        <w:spacing w:after="80"/>
      </w:pPr>
      <w:r>
        <w:rPr>
          <w:rFonts w:ascii="Calibri" w:hAnsi="Calibri"/>
          <w:b/>
          <w:i w:val="0"/>
          <w:color w:val="1F3864"/>
          <w:sz w:val="21"/>
        </w:rPr>
        <w:t>3 — Medium-term</w:t>
      </w:r>
    </w:p>
    <w:p>
      <w:pPr>
        <w:pStyle w:val="ListBullet"/>
        <w:spacing w:after="40"/>
      </w:pPr>
      <w:r>
        <w:rPr>
          <w:rFonts w:ascii="Calibri" w:hAnsi="Calibri"/>
          <w:b w:val="0"/>
          <w:i w:val="0"/>
          <w:sz w:val="20"/>
        </w:rPr>
        <w:t>Add password complexity/length validation in change_password.php</w:t>
      </w:r>
    </w:p>
    <w:p>
      <w:pPr>
        <w:pStyle w:val="ListBullet"/>
        <w:spacing w:after="40"/>
      </w:pPr>
      <w:r>
        <w:rPr>
          <w:rFonts w:ascii="Calibri" w:hAnsi="Calibri"/>
          <w:b w:val="0"/>
          <w:i w:val="0"/>
          <w:sz w:val="20"/>
        </w:rPr>
        <w:t>Fix hostname validation regex to reject IPv6 bracket notation</w:t>
      </w:r>
    </w:p>
    <w:p>
      <w:pPr>
        <w:pStyle w:val="ListBullet"/>
        <w:spacing w:after="40"/>
      </w:pPr>
      <w:r>
        <w:rPr>
          <w:rFonts w:ascii="Calibri" w:hAnsi="Calibri"/>
          <w:b w:val="0"/>
          <w:i w:val="0"/>
          <w:sz w:val="20"/>
        </w:rPr>
        <w:t>Enable HTTPS in Apache (port-443 VirtualHost) and add HSTS header</w:t>
      </w:r>
    </w:p>
    <w:p>
      <w:pPr>
        <w:pStyle w:val="ListBullet"/>
        <w:spacing w:after="40"/>
      </w:pPr>
      <w:r>
        <w:rPr>
          <w:rFonts w:ascii="Calibri" w:hAnsi="Calibri"/>
          <w:b w:val="0"/>
          <w:i w:val="0"/>
          <w:sz w:val="20"/>
        </w:rPr>
        <w:t>Replace unsafe-inline in CSP with nonces; add object-src 'none'</w:t>
      </w:r>
    </w:p>
    <w:p>
      <w:pPr>
        <w:pStyle w:val="ListBullet"/>
        <w:spacing w:after="40"/>
      </w:pPr>
      <w:r>
        <w:rPr>
          <w:rFonts w:ascii="Calibri" w:hAnsi="Calibri"/>
          <w:b w:val="0"/>
          <w:i w:val="0"/>
          <w:sz w:val="20"/>
        </w:rPr>
        <w:t>Add authentication event logging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88888"/>
        <w:sz w:val="16"/>
      </w:rPr>
      <w:t>CONFIDENTIAL — AutoSecForge Pro v12 SAST Report — June 07,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