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FY26 Regional Sales — Reporting Context</w:t>
      </w:r>
    </w:p>
    <w:p>
      <w:pPr>
        <w:spacing w:after="60"/>
      </w:pPr>
      <w:r>
        <w:rPr>
          <w:i/>
          <w:iCs/>
          <w:color w:val="707070"/>
        </w:rPr>
        <w:t xml:space="preserve">Summit Software Group · Sales Operations · Internal · For use in regional performance reporting</w:t>
      </w:r>
    </w:p>
    <w:p>
      <w:pPr>
        <w:spacing w:after="160"/>
      </w:pPr>
      <w:r>
        <w:rPr>
          <w:i/>
          <w:iCs/>
          <w:color w:val="707070"/>
          <w:sz w:val="17"/>
          <w:szCs w:val="17"/>
        </w:rPr>
        <w:t xml:space="preserve">(Fictional company document used as a Copilot reference file in the Stringfest Analytics session “Copilot for Excel: Beyond the Basics.”)</w:t>
      </w:r>
    </w:p>
    <w:p>
      <w:pPr>
        <w:pStyle w:val="Heading1"/>
      </w:pPr>
      <w:r>
        <w:t xml:space="preserve">FY26 revenue targets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2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shd w:fill="1F2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FY26 Target</w:t>
            </w:r>
          </w:p>
        </w:tc>
        <w:tc>
          <w:tcPr>
            <w:tcW w:type="dxa" w:w="3120"/>
            <w:shd w:fill="1F2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West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$4,000,000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Includes the new Denver metro accounts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Northeast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$4,200,000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 before the Harborview loss; not restated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Southeast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$2,800,000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Midwest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$2,300,000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Mountain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$1,300,000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First full year as a standalone region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Known drivers this year</w:t>
      </w:r>
    </w:p>
    <w:p>
      <w:pPr>
        <w:spacing w:after="100"/>
      </w:pPr>
      <w:r>
        <w:rPr>
          <w:b/>
          <w:bCs/>
        </w:rPr>
        <w:t xml:space="preserve">West:  </w:t>
      </w:r>
      <w:r>
        <w:t xml:space="preserve">benefited from the Denver metro expansion completed in Q1; two enterprise logos signed in Q2. Growth is expected to normalize next year.</w:t>
      </w:r>
    </w:p>
    <w:p>
      <w:pPr>
        <w:spacing w:after="100"/>
      </w:pPr>
      <w:r>
        <w:rPr>
          <w:b/>
          <w:bCs/>
        </w:rPr>
        <w:t xml:space="preserve">Northeast:  </w:t>
      </w:r>
      <w:r>
        <w:t xml:space="preserve">lost the Harborview Logistics account (roughly $450K annualized) in March to a competitor. The FY26 target was not restated, so a miss against target is expected and should be explained, not treated as underperformance news.</w:t>
      </w:r>
    </w:p>
    <w:p>
      <w:pPr>
        <w:spacing w:after="100"/>
      </w:pPr>
      <w:r>
        <w:rPr>
          <w:b/>
          <w:bCs/>
        </w:rPr>
        <w:t xml:space="preserve">Southeast:  </w:t>
      </w:r>
      <w:r>
        <w:t xml:space="preserve">steady growth from mid-market renewals upsold to the premium tier.</w:t>
      </w:r>
    </w:p>
    <w:p>
      <w:pPr>
        <w:spacing w:after="100"/>
      </w:pPr>
      <w:r>
        <w:rPr>
          <w:b/>
          <w:bCs/>
        </w:rPr>
        <w:t xml:space="preserve">Midwest:  </w:t>
      </w:r>
      <w:r>
        <w:t xml:space="preserve">mid-year transition to a new distributor disrupted the pipeline in Q2–Q3; recovery began in Q4.</w:t>
      </w:r>
    </w:p>
    <w:p>
      <w:pPr>
        <w:spacing w:after="100"/>
      </w:pPr>
      <w:r>
        <w:rPr>
          <w:b/>
          <w:bCs/>
        </w:rPr>
        <w:t xml:space="preserve">Mountain:  </w:t>
      </w:r>
      <w:r>
        <w:t xml:space="preserve">new standalone region carved out of West last year; added Boise and Salt Lake coverage. Target was set conservatively.</w:t>
      </w:r>
    </w:p>
    <w:p>
      <w:pPr>
        <w:pStyle w:val="Heading1"/>
      </w:pPr>
      <w:r>
        <w:t xml:space="preserve">Definitions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Revenue: recognized software and services revenue, USD.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Units: new licenses sold; excludes renewals.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YoY change: versus the same period of the prior fiscal year.</w:t>
      </w:r>
    </w:p>
    <w:p>
      <w:pPr>
        <w:pStyle w:val="Heading1"/>
      </w:pPr>
      <w:r>
        <w:t xml:space="preserve">Reporting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compare each region to its FY26 target, and flag any miss greater than 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Attribute variances only to the documented drivers above; do not speculate about causes.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where a target was not restated (Northeast) so the reader has fair context.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212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2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2026-08-07T11:48:17.936Z</dcterms:created>
  <dcterms:modified xsi:type="dcterms:W3CDTF">2026-08-07T11:48:17.936Z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