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Presenter Pre-flight Card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ChatGPT Add-in for Excel  •  60 minutes</w:t>
      </w:r>
    </w:p>
    <w:p>
      <w:pPr>
        <w:pBdr>
          <w:bottom w:val="single" w:color="808080" w:sz="6" w:space="4"/>
        </w:pBd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 minutes before going live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☐  Excel open; ChatGPT add-in pane pinned to the right; signed in.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☐  All three .xlsx files saved locally and recently opened.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☐  Strong wifi (the add-in is chatty).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☐  Display scaling: formula bar AND ChatGPT pane both legible in share.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☐  Close email, Slack, calendar — the pane will surface notifications.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☐  Open 01_sales_transactions.xlsx on a blank cell to start.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☐  This card and the prompt library printed and on your desk.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Timing markers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0:00</w:t>
      </w:r>
      <w:r>
        <w:rPr>
          <w:rFonts w:ascii="Calibri" w:cs="Calibri" w:eastAsia="Calibri" w:hAnsi="Calibri"/>
          <w:sz w:val="20"/>
          <w:szCs w:val="20"/>
        </w:rPr>
        <w:t xml:space="preserve">  →  Slide 1 — welcome, housekeeping, no Q&amp;A pauses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0:02</w:t>
      </w:r>
      <w:r>
        <w:rPr>
          <w:rFonts w:ascii="Calibri" w:cs="Calibri" w:eastAsia="Calibri" w:hAnsi="Calibri"/>
          <w:sz w:val="20"/>
          <w:szCs w:val="20"/>
        </w:rPr>
        <w:t xml:space="preserve">  →  Slide 2–3 — promise &amp; agenda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0:06</w:t>
      </w:r>
      <w:r>
        <w:rPr>
          <w:rFonts w:ascii="Calibri" w:cs="Calibri" w:eastAsia="Calibri" w:hAnsi="Calibri"/>
          <w:sz w:val="20"/>
          <w:szCs w:val="20"/>
        </w:rPr>
        <w:t xml:space="preserve">  →  Slide 4 — why it matters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0:08</w:t>
      </w:r>
      <w:r>
        <w:rPr>
          <w:rFonts w:ascii="Calibri" w:cs="Calibri" w:eastAsia="Calibri" w:hAnsi="Calibri"/>
          <w:sz w:val="20"/>
          <w:szCs w:val="20"/>
        </w:rPr>
        <w:t xml:space="preserve">  →  Slide 5–6 — what the add-in is, three things to know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0:10</w:t>
      </w:r>
      <w:r>
        <w:rPr>
          <w:rFonts w:ascii="Calibri" w:cs="Calibri" w:eastAsia="Calibri" w:hAnsi="Calibri"/>
          <w:sz w:val="20"/>
          <w:szCs w:val="20"/>
        </w:rPr>
        <w:t xml:space="preserve">  →  Slide 7–8 — Demo 1 setup, switch to Excel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0:22</w:t>
      </w:r>
      <w:r>
        <w:rPr>
          <w:rFonts w:ascii="Calibri" w:cs="Calibri" w:eastAsia="Calibri" w:hAnsi="Calibri"/>
          <w:sz w:val="20"/>
          <w:szCs w:val="20"/>
        </w:rPr>
        <w:t xml:space="preserve">  →  Slide 9 — Demo 1 takeaways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0:25</w:t>
      </w:r>
      <w:r>
        <w:rPr>
          <w:rFonts w:ascii="Calibri" w:cs="Calibri" w:eastAsia="Calibri" w:hAnsi="Calibri"/>
          <w:sz w:val="20"/>
          <w:szCs w:val="20"/>
        </w:rPr>
        <w:t xml:space="preserve">  →  Slide 10–11 — Demo 2 setup, switch to Excel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0:37</w:t>
      </w:r>
      <w:r>
        <w:rPr>
          <w:rFonts w:ascii="Calibri" w:cs="Calibri" w:eastAsia="Calibri" w:hAnsi="Calibri"/>
          <w:sz w:val="20"/>
          <w:szCs w:val="20"/>
        </w:rPr>
        <w:t xml:space="preserve">  →  Slide 12 — Demo 2 takeaways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0:40</w:t>
      </w:r>
      <w:r>
        <w:rPr>
          <w:rFonts w:ascii="Calibri" w:cs="Calibri" w:eastAsia="Calibri" w:hAnsi="Calibri"/>
          <w:sz w:val="20"/>
          <w:szCs w:val="20"/>
        </w:rPr>
        <w:t xml:space="preserve">  →  Slide 13–14 — Demo 3 setup, switch to Excel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0:50</w:t>
      </w:r>
      <w:r>
        <w:rPr>
          <w:rFonts w:ascii="Calibri" w:cs="Calibri" w:eastAsia="Calibri" w:hAnsi="Calibri"/>
          <w:sz w:val="20"/>
          <w:szCs w:val="20"/>
        </w:rPr>
        <w:t xml:space="preserve">  →  Slide 15 — Demo 3 takeaways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0:53</w:t>
      </w:r>
      <w:r>
        <w:rPr>
          <w:rFonts w:ascii="Calibri" w:cs="Calibri" w:eastAsia="Calibri" w:hAnsi="Calibri"/>
          <w:sz w:val="20"/>
          <w:szCs w:val="20"/>
        </w:rPr>
        <w:t xml:space="preserve">  →  Slide 16 — Validation playbook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0:57</w:t>
      </w:r>
      <w:r>
        <w:rPr>
          <w:rFonts w:ascii="Calibri" w:cs="Calibri" w:eastAsia="Calibri" w:hAnsi="Calibri"/>
          <w:sz w:val="20"/>
          <w:szCs w:val="20"/>
        </w:rPr>
        <w:t xml:space="preserve">  →  Slide 17–19 — Recap, next steps, thanks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Fallback moves (memorize these)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gives generic answer</w:t>
      </w:r>
      <w:r>
        <w:rPr>
          <w:rFonts w:ascii="Calibri" w:cs="Calibri" w:eastAsia="Calibri" w:hAnsi="Calibri"/>
          <w:sz w:val="20"/>
          <w:szCs w:val="20"/>
        </w:rPr>
        <w:t xml:space="preserve">  →  re-prompt with explicit column names from the headers.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hallucinates a column</w:t>
      </w:r>
      <w:r>
        <w:rPr>
          <w:rFonts w:ascii="Calibri" w:cs="Calibri" w:eastAsia="Calibri" w:hAnsi="Calibri"/>
          <w:sz w:val="20"/>
          <w:szCs w:val="20"/>
        </w:rPr>
        <w:t xml:space="preserve">  →  say it out loud: "Watch — it just invented a column. Always read what it gives you." Then re-prompt.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Latency drags past ~20s</w:t>
      </w:r>
      <w:r>
        <w:rPr>
          <w:rFonts w:ascii="Calibri" w:cs="Calibri" w:eastAsia="Calibri" w:hAnsi="Calibri"/>
          <w:sz w:val="20"/>
          <w:szCs w:val="20"/>
        </w:rPr>
        <w:t xml:space="preserve">  →  narrate the prompt and why you wrote it that way. Never sit silent.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Pane disconnects / signs out</w:t>
      </w:r>
      <w:r>
        <w:rPr>
          <w:rFonts w:ascii="Calibri" w:cs="Calibri" w:eastAsia="Calibri" w:hAnsi="Calibri"/>
          <w:sz w:val="20"/>
          <w:szCs w:val="20"/>
        </w:rPr>
        <w:t xml:space="preserve">  →  close pane, reopen from ribbon, sign back in. Talk through one of the takeaway slides while it loads.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Sign-off line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"Thanks for the hour. If you take one thing from this — let it be: ask the AI to red-team itself. That single habit pays for the rest."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2026-05-16T13:34:12.952Z</dcterms:created>
  <dcterms:modified xsi:type="dcterms:W3CDTF">2026-05-16T13:34:12.952Z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