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Black" w:cs="Arial Black" w:eastAsia="Arial Black" w:hAnsi="Arial Black"/>
          <w:b/>
          <w:bCs/>
          <w:color w:val="CF3338"/>
          <w:sz w:val="28"/>
          <w:szCs w:val="28"/>
        </w:rPr>
        <w:t xml:space="preserve">INSTRUCTOR NOTES</w:t>
      </w:r>
    </w:p>
    <w:p>
      <w:pPr>
        <w:spacing w:after="40"/>
      </w:pPr>
      <w:r>
        <w:rPr>
          <w:rFonts w:ascii="Arial Black" w:cs="Arial Black" w:eastAsia="Arial Black" w:hAnsi="Arial Black"/>
          <w:b/>
          <w:bCs/>
          <w:color w:val="1F2120"/>
          <w:sz w:val="36"/>
          <w:szCs w:val="36"/>
        </w:rPr>
        <w:t xml:space="preserve">Copilot vs Claude in Excel: A Side-by-Side Road Test</w:t>
      </w:r>
    </w:p>
    <w:p>
      <w:pPr>
        <w:pBdr>
          <w:bottom w:val="single" w:color="CF3338" w:sz="8" w:space="1"/>
        </w:pBdr>
        <w:spacing w:after="80"/>
      </w:pPr>
      <w:r>
        <w:rPr>
          <w:rFonts w:ascii="Arial" w:cs="Arial" w:eastAsia="Arial" w:hAnsi="Arial"/>
          <w:color w:val="707070"/>
          <w:sz w:val="20"/>
          <w:szCs w:val="20"/>
        </w:rPr>
        <w:t xml:space="preserve">60-Minute Workshop  |  George Mount  |  Stringfest Analytics</w:t>
      </w:r>
    </w:p>
    <w:p>
      <w:pPr>
        <w:spacing w:after="200"/>
      </w:pPr>
    </w:p>
    <w:p>
      <w:pPr>
        <w:pStyle w:val="Heading1"/>
      </w:pPr>
      <w:r>
        <w:rPr>
          <w:rFonts w:ascii="Arial Black" w:cs="Arial Black" w:eastAsia="Arial Black" w:hAnsi="Arial Black"/>
          <w:b/>
          <w:bCs/>
        </w:rPr>
        <w:t xml:space="preserve">Session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4760"/>
      </w:tblGrid>
      <w:tr>
        <w:tc>
          <w:tcPr>
            <w:tcW w:type="dxa" w:w="1400"/>
            <w:tcBorders>
              <w:top w:val="single" w:color="CCCCCC" w:sz="1"/>
              <w:left w:val="single" w:color="CCCCCC" w:sz="1"/>
              <w:bottom w:val="single" w:color="CCCCCC" w:sz="1"/>
              <w:right w:val="single" w:color="CCCCCC" w:sz="1"/>
            </w:tcBorders>
            <w:shd w:fill="CF3338" w:val="clear"/>
            <w:tcMar>
              <w:top w:type="dxa" w:w="50"/>
              <w:left w:type="dxa" w:w="100"/>
              <w:bottom w:type="dxa" w:w="50"/>
              <w:right w:type="dxa" w:w="100"/>
            </w:tcMar>
          </w:tcPr>
          <w:p>
            <w:r>
              <w:rPr>
                <w:rFonts w:ascii="Arial" w:cs="Arial" w:eastAsia="Arial" w:hAnsi="Arial"/>
                <w:b/>
                <w:bCs/>
                <w:color w:val="FFFFFF"/>
                <w:sz w:val="20"/>
                <w:szCs w:val="20"/>
              </w:rPr>
              <w:t xml:space="preserve">Time</w:t>
            </w:r>
          </w:p>
        </w:tc>
        <w:tc>
          <w:tcPr>
            <w:tcW w:type="dxa" w:w="3200"/>
            <w:tcBorders>
              <w:top w:val="single" w:color="CCCCCC" w:sz="1"/>
              <w:left w:val="single" w:color="CCCCCC" w:sz="1"/>
              <w:bottom w:val="single" w:color="CCCCCC" w:sz="1"/>
              <w:right w:val="single" w:color="CCCCCC" w:sz="1"/>
            </w:tcBorders>
            <w:shd w:fill="CF3338" w:val="clear"/>
            <w:tcMar>
              <w:top w:type="dxa" w:w="50"/>
              <w:left w:type="dxa" w:w="100"/>
              <w:bottom w:type="dxa" w:w="50"/>
              <w:right w:type="dxa" w:w="100"/>
            </w:tcMar>
          </w:tcPr>
          <w:p>
            <w:r>
              <w:rPr>
                <w:rFonts w:ascii="Arial" w:cs="Arial" w:eastAsia="Arial" w:hAnsi="Arial"/>
                <w:b/>
                <w:bCs/>
                <w:color w:val="FFFFFF"/>
                <w:sz w:val="20"/>
                <w:szCs w:val="20"/>
              </w:rPr>
              <w:t xml:space="preserve">Section</w:t>
            </w:r>
          </w:p>
        </w:tc>
        <w:tc>
          <w:tcPr>
            <w:tcW w:type="dxa" w:w="4760"/>
            <w:tcBorders>
              <w:top w:val="single" w:color="CCCCCC" w:sz="1"/>
              <w:left w:val="single" w:color="CCCCCC" w:sz="1"/>
              <w:bottom w:val="single" w:color="CCCCCC" w:sz="1"/>
              <w:right w:val="single" w:color="CCCCCC" w:sz="1"/>
            </w:tcBorders>
            <w:shd w:fill="CF3338" w:val="clear"/>
            <w:tcMar>
              <w:top w:type="dxa" w:w="50"/>
              <w:left w:type="dxa" w:w="100"/>
              <w:bottom w:type="dxa" w:w="50"/>
              <w:right w:type="dxa" w:w="100"/>
            </w:tcMar>
          </w:tcPr>
          <w:p>
            <w:r>
              <w:rPr>
                <w:rFonts w:ascii="Arial" w:cs="Arial" w:eastAsia="Arial" w:hAnsi="Arial"/>
                <w:b/>
                <w:bCs/>
                <w:color w:val="FFFFFF"/>
                <w:sz w:val="20"/>
                <w:szCs w:val="20"/>
              </w:rPr>
              <w:t xml:space="preserve">Key Actions</w:t>
            </w:r>
          </w:p>
        </w:tc>
      </w:tr>
      <w:tr>
        <w:tc>
          <w:tcPr>
            <w:tcW w:type="dxa" w:w="1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color w:val="1F2120"/>
                <w:sz w:val="20"/>
                <w:szCs w:val="20"/>
              </w:rPr>
              <w:t xml:space="preserve">0:00–0:05</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color w:val="1F2120"/>
                <w:sz w:val="20"/>
                <w:szCs w:val="20"/>
              </w:rPr>
              <w:t xml:space="preserve">Welcome + Roadmap</w:t>
            </w:r>
          </w:p>
        </w:tc>
        <w:tc>
          <w:tcPr>
            <w:tcW w:type="dxa" w:w="47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color w:val="1F2120"/>
                <w:sz w:val="20"/>
                <w:szCs w:val="20"/>
              </w:rPr>
              <w:t xml:space="preserve">Slides 1–3. Set expectations: neutral comparison, universal principles, hands-on demo.</w:t>
            </w:r>
          </w:p>
        </w:tc>
      </w:tr>
      <w:tr>
        <w:tc>
          <w:tcPr>
            <w:tcW w:type="dxa" w:w="1400"/>
            <w:tcBorders>
              <w:top w:val="single" w:color="CCCCCC" w:sz="1"/>
              <w:left w:val="single" w:color="CCCCCC" w:sz="1"/>
              <w:bottom w:val="single" w:color="CCCCCC" w:sz="1"/>
              <w:right w:val="single" w:color="CCCCCC" w:sz="1"/>
            </w:tcBorders>
            <w:shd w:fill="F5F0E8" w:val="clear"/>
            <w:tcMar>
              <w:top w:type="dxa" w:w="50"/>
              <w:left w:type="dxa" w:w="100"/>
              <w:bottom w:type="dxa" w:w="50"/>
              <w:right w:type="dxa" w:w="100"/>
            </w:tcMar>
          </w:tcPr>
          <w:p>
            <w:r>
              <w:rPr>
                <w:rFonts w:ascii="Arial" w:cs="Arial" w:eastAsia="Arial" w:hAnsi="Arial"/>
                <w:color w:val="1F2120"/>
                <w:sz w:val="20"/>
                <w:szCs w:val="20"/>
              </w:rPr>
              <w:t xml:space="preserve">0:05–0:12</w:t>
            </w:r>
          </w:p>
        </w:tc>
        <w:tc>
          <w:tcPr>
            <w:tcW w:type="dxa" w:w="3200"/>
            <w:tcBorders>
              <w:top w:val="single" w:color="CCCCCC" w:sz="1"/>
              <w:left w:val="single" w:color="CCCCCC" w:sz="1"/>
              <w:bottom w:val="single" w:color="CCCCCC" w:sz="1"/>
              <w:right w:val="single" w:color="CCCCCC" w:sz="1"/>
            </w:tcBorders>
            <w:shd w:fill="F5F0E8" w:val="clear"/>
            <w:tcMar>
              <w:top w:type="dxa" w:w="50"/>
              <w:left w:type="dxa" w:w="100"/>
              <w:bottom w:type="dxa" w:w="50"/>
              <w:right w:type="dxa" w:w="100"/>
            </w:tcMar>
          </w:tcPr>
          <w:p>
            <w:r>
              <w:rPr>
                <w:rFonts w:ascii="Arial" w:cs="Arial" w:eastAsia="Arial" w:hAnsi="Arial"/>
                <w:color w:val="1F2120"/>
                <w:sz w:val="20"/>
                <w:szCs w:val="20"/>
              </w:rPr>
              <w:t xml:space="preserve">The Landscape</w:t>
            </w:r>
          </w:p>
        </w:tc>
        <w:tc>
          <w:tcPr>
            <w:tcW w:type="dxa" w:w="4760"/>
            <w:tcBorders>
              <w:top w:val="single" w:color="CCCCCC" w:sz="1"/>
              <w:left w:val="single" w:color="CCCCCC" w:sz="1"/>
              <w:bottom w:val="single" w:color="CCCCCC" w:sz="1"/>
              <w:right w:val="single" w:color="CCCCCC" w:sz="1"/>
            </w:tcBorders>
            <w:shd w:fill="F5F0E8" w:val="clear"/>
            <w:tcMar>
              <w:top w:type="dxa" w:w="50"/>
              <w:left w:type="dxa" w:w="100"/>
              <w:bottom w:type="dxa" w:w="50"/>
              <w:right w:type="dxa" w:w="100"/>
            </w:tcMar>
          </w:tcPr>
          <w:p>
            <w:r>
              <w:rPr>
                <w:rFonts w:ascii="Arial" w:cs="Arial" w:eastAsia="Arial" w:hAnsi="Arial"/>
                <w:color w:val="1F2120"/>
                <w:sz w:val="20"/>
                <w:szCs w:val="20"/>
              </w:rPr>
              <w:t xml:space="preserve">Slides 4–6. Frame the confusion. Three-card landscape. How each tool works inside Excel.</w:t>
            </w:r>
          </w:p>
        </w:tc>
      </w:tr>
      <w:tr>
        <w:tc>
          <w:tcPr>
            <w:tcW w:type="dxa" w:w="1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color w:val="1F2120"/>
                <w:sz w:val="20"/>
                <w:szCs w:val="20"/>
              </w:rPr>
              <w:t xml:space="preserve">0:12–0:15</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color w:val="1F2120"/>
                <w:sz w:val="20"/>
                <w:szCs w:val="20"/>
              </w:rPr>
              <w:t xml:space="preserve">Test Setup</w:t>
            </w:r>
          </w:p>
        </w:tc>
        <w:tc>
          <w:tcPr>
            <w:tcW w:type="dxa" w:w="47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color w:val="1F2120"/>
                <w:sz w:val="20"/>
                <w:szCs w:val="20"/>
              </w:rPr>
              <w:t xml:space="preserve">Slide 7. Walk through the dataset and the two tasks. Show the workbook.</w:t>
            </w:r>
          </w:p>
        </w:tc>
      </w:tr>
      <w:tr>
        <w:tc>
          <w:tcPr>
            <w:tcW w:type="dxa" w:w="1400"/>
            <w:tcBorders>
              <w:top w:val="single" w:color="CCCCCC" w:sz="1"/>
              <w:left w:val="single" w:color="CCCCCC" w:sz="1"/>
              <w:bottom w:val="single" w:color="CCCCCC" w:sz="1"/>
              <w:right w:val="single" w:color="CCCCCC" w:sz="1"/>
            </w:tcBorders>
            <w:shd w:fill="F5F0E8" w:val="clear"/>
            <w:tcMar>
              <w:top w:type="dxa" w:w="50"/>
              <w:left w:type="dxa" w:w="100"/>
              <w:bottom w:type="dxa" w:w="50"/>
              <w:right w:type="dxa" w:w="100"/>
            </w:tcMar>
          </w:tcPr>
          <w:p>
            <w:r>
              <w:rPr>
                <w:rFonts w:ascii="Arial" w:cs="Arial" w:eastAsia="Arial" w:hAnsi="Arial"/>
                <w:color w:val="1F2120"/>
                <w:sz w:val="20"/>
                <w:szCs w:val="20"/>
              </w:rPr>
              <w:t xml:space="preserve">0:15–0:35</w:t>
            </w:r>
          </w:p>
        </w:tc>
        <w:tc>
          <w:tcPr>
            <w:tcW w:type="dxa" w:w="3200"/>
            <w:tcBorders>
              <w:top w:val="single" w:color="CCCCCC" w:sz="1"/>
              <w:left w:val="single" w:color="CCCCCC" w:sz="1"/>
              <w:bottom w:val="single" w:color="CCCCCC" w:sz="1"/>
              <w:right w:val="single" w:color="CCCCCC" w:sz="1"/>
            </w:tcBorders>
            <w:shd w:fill="F5F0E8" w:val="clear"/>
            <w:tcMar>
              <w:top w:type="dxa" w:w="50"/>
              <w:left w:type="dxa" w:w="100"/>
              <w:bottom w:type="dxa" w:w="50"/>
              <w:right w:type="dxa" w:w="100"/>
            </w:tcMar>
          </w:tcPr>
          <w:p>
            <w:r>
              <w:rPr>
                <w:rFonts w:ascii="Arial" w:cs="Arial" w:eastAsia="Arial" w:hAnsi="Arial"/>
                <w:color w:val="1F2120"/>
                <w:sz w:val="20"/>
                <w:szCs w:val="20"/>
              </w:rPr>
              <w:t xml:space="preserve">Live Demos (Tasks 1 &amp; 2)</w:t>
            </w:r>
          </w:p>
        </w:tc>
        <w:tc>
          <w:tcPr>
            <w:tcW w:type="dxa" w:w="4760"/>
            <w:tcBorders>
              <w:top w:val="single" w:color="CCCCCC" w:sz="1"/>
              <w:left w:val="single" w:color="CCCCCC" w:sz="1"/>
              <w:bottom w:val="single" w:color="CCCCCC" w:sz="1"/>
              <w:right w:val="single" w:color="CCCCCC" w:sz="1"/>
            </w:tcBorders>
            <w:shd w:fill="F5F0E8" w:val="clear"/>
            <w:tcMar>
              <w:top w:type="dxa" w:w="50"/>
              <w:left w:type="dxa" w:w="100"/>
              <w:bottom w:type="dxa" w:w="50"/>
              <w:right w:type="dxa" w:w="100"/>
            </w:tcMar>
          </w:tcPr>
          <w:p>
            <w:r>
              <w:rPr>
                <w:rFonts w:ascii="Arial" w:cs="Arial" w:eastAsia="Arial" w:hAnsi="Arial"/>
                <w:color w:val="1F2120"/>
                <w:sz w:val="20"/>
                <w:szCs w:val="20"/>
              </w:rPr>
              <w:t xml:space="preserve">Slides 8–10. Open both add-ins. Run categorization, then summary. Narrate what you see — don’t try to match specific results.</w:t>
            </w:r>
          </w:p>
        </w:tc>
      </w:tr>
      <w:tr>
        <w:tc>
          <w:tcPr>
            <w:tcW w:type="dxa" w:w="1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color w:val="1F2120"/>
                <w:sz w:val="20"/>
                <w:szCs w:val="20"/>
              </w:rPr>
              <w:t xml:space="preserve">0:35–0:40</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color w:val="1F2120"/>
                <w:sz w:val="20"/>
                <w:szCs w:val="20"/>
              </w:rPr>
              <w:t xml:space="preserve">Patterns + Spec Sheet</w:t>
            </w:r>
          </w:p>
        </w:tc>
        <w:tc>
          <w:tcPr>
            <w:tcW w:type="dxa" w:w="47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color w:val="1F2120"/>
                <w:sz w:val="20"/>
                <w:szCs w:val="20"/>
              </w:rPr>
              <w:t xml:space="preserve">Slides 11–13. Show the behavioral patterns table. Walk through the feature comparison.</w:t>
            </w:r>
          </w:p>
        </w:tc>
      </w:tr>
      <w:tr>
        <w:tc>
          <w:tcPr>
            <w:tcW w:type="dxa" w:w="1400"/>
            <w:tcBorders>
              <w:top w:val="single" w:color="CCCCCC" w:sz="1"/>
              <w:left w:val="single" w:color="CCCCCC" w:sz="1"/>
              <w:bottom w:val="single" w:color="CCCCCC" w:sz="1"/>
              <w:right w:val="single" w:color="CCCCCC" w:sz="1"/>
            </w:tcBorders>
            <w:shd w:fill="F5F0E8" w:val="clear"/>
            <w:tcMar>
              <w:top w:type="dxa" w:w="50"/>
              <w:left w:type="dxa" w:w="100"/>
              <w:bottom w:type="dxa" w:w="50"/>
              <w:right w:type="dxa" w:w="100"/>
            </w:tcMar>
          </w:tcPr>
          <w:p>
            <w:r>
              <w:rPr>
                <w:rFonts w:ascii="Arial" w:cs="Arial" w:eastAsia="Arial" w:hAnsi="Arial"/>
                <w:color w:val="1F2120"/>
                <w:sz w:val="20"/>
                <w:szCs w:val="20"/>
              </w:rPr>
              <w:t xml:space="preserve">0:40–0:42</w:t>
            </w:r>
          </w:p>
        </w:tc>
        <w:tc>
          <w:tcPr>
            <w:tcW w:type="dxa" w:w="3200"/>
            <w:tcBorders>
              <w:top w:val="single" w:color="CCCCCC" w:sz="1"/>
              <w:left w:val="single" w:color="CCCCCC" w:sz="1"/>
              <w:bottom w:val="single" w:color="CCCCCC" w:sz="1"/>
              <w:right w:val="single" w:color="CCCCCC" w:sz="1"/>
            </w:tcBorders>
            <w:shd w:fill="F5F0E8" w:val="clear"/>
            <w:tcMar>
              <w:top w:type="dxa" w:w="50"/>
              <w:left w:type="dxa" w:w="100"/>
              <w:bottom w:type="dxa" w:w="50"/>
              <w:right w:type="dxa" w:w="100"/>
            </w:tcMar>
          </w:tcPr>
          <w:p>
            <w:r>
              <w:rPr>
                <w:rFonts w:ascii="Arial" w:cs="Arial" w:eastAsia="Arial" w:hAnsi="Arial"/>
                <w:color w:val="1F2120"/>
                <w:sz w:val="20"/>
                <w:szCs w:val="20"/>
              </w:rPr>
              <w:t xml:space="preserve">Ecosystem View</w:t>
            </w:r>
          </w:p>
        </w:tc>
        <w:tc>
          <w:tcPr>
            <w:tcW w:type="dxa" w:w="4760"/>
            <w:tcBorders>
              <w:top w:val="single" w:color="CCCCCC" w:sz="1"/>
              <w:left w:val="single" w:color="CCCCCC" w:sz="1"/>
              <w:bottom w:val="single" w:color="CCCCCC" w:sz="1"/>
              <w:right w:val="single" w:color="CCCCCC" w:sz="1"/>
            </w:tcBorders>
            <w:shd w:fill="F5F0E8" w:val="clear"/>
            <w:tcMar>
              <w:top w:type="dxa" w:w="50"/>
              <w:left w:type="dxa" w:w="100"/>
              <w:bottom w:type="dxa" w:w="50"/>
              <w:right w:type="dxa" w:w="100"/>
            </w:tcMar>
          </w:tcPr>
          <w:p>
            <w:r>
              <w:rPr>
                <w:rFonts w:ascii="Arial" w:cs="Arial" w:eastAsia="Arial" w:hAnsi="Arial"/>
                <w:color w:val="1F2120"/>
                <w:sz w:val="20"/>
                <w:szCs w:val="20"/>
              </w:rPr>
              <w:t xml:space="preserve">Slide 14. It’s not just an Excel add-in — compare the broader ecosystems.</w:t>
            </w:r>
          </w:p>
        </w:tc>
      </w:tr>
      <w:tr>
        <w:tc>
          <w:tcPr>
            <w:tcW w:type="dxa" w:w="1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color w:val="1F2120"/>
                <w:sz w:val="20"/>
                <w:szCs w:val="20"/>
              </w:rPr>
              <w:t xml:space="preserve">0:42–0:52</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color w:val="1F2120"/>
                <w:sz w:val="20"/>
                <w:szCs w:val="20"/>
              </w:rPr>
              <w:t xml:space="preserve">Universal Principles 1–5</w:t>
            </w:r>
          </w:p>
        </w:tc>
        <w:tc>
          <w:tcPr>
            <w:tcW w:type="dxa" w:w="47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color w:val="1F2120"/>
                <w:sz w:val="20"/>
                <w:szCs w:val="20"/>
              </w:rPr>
              <w:t xml:space="preserve">Slides 15–20. Walk through all five principles with concrete examples from the demos.</w:t>
            </w:r>
          </w:p>
        </w:tc>
      </w:tr>
      <w:tr>
        <w:tc>
          <w:tcPr>
            <w:tcW w:type="dxa" w:w="1400"/>
            <w:tcBorders>
              <w:top w:val="single" w:color="CCCCCC" w:sz="1"/>
              <w:left w:val="single" w:color="CCCCCC" w:sz="1"/>
              <w:bottom w:val="single" w:color="CCCCCC" w:sz="1"/>
              <w:right w:val="single" w:color="CCCCCC" w:sz="1"/>
            </w:tcBorders>
            <w:shd w:fill="F5F0E8" w:val="clear"/>
            <w:tcMar>
              <w:top w:type="dxa" w:w="50"/>
              <w:left w:type="dxa" w:w="100"/>
              <w:bottom w:type="dxa" w:w="50"/>
              <w:right w:type="dxa" w:w="100"/>
            </w:tcMar>
          </w:tcPr>
          <w:p>
            <w:r>
              <w:rPr>
                <w:rFonts w:ascii="Arial" w:cs="Arial" w:eastAsia="Arial" w:hAnsi="Arial"/>
                <w:color w:val="1F2120"/>
                <w:sz w:val="20"/>
                <w:szCs w:val="20"/>
              </w:rPr>
              <w:t xml:space="preserve">0:52–0:55</w:t>
            </w:r>
          </w:p>
        </w:tc>
        <w:tc>
          <w:tcPr>
            <w:tcW w:type="dxa" w:w="3200"/>
            <w:tcBorders>
              <w:top w:val="single" w:color="CCCCCC" w:sz="1"/>
              <w:left w:val="single" w:color="CCCCCC" w:sz="1"/>
              <w:bottom w:val="single" w:color="CCCCCC" w:sz="1"/>
              <w:right w:val="single" w:color="CCCCCC" w:sz="1"/>
            </w:tcBorders>
            <w:shd w:fill="F5F0E8" w:val="clear"/>
            <w:tcMar>
              <w:top w:type="dxa" w:w="50"/>
              <w:left w:type="dxa" w:w="100"/>
              <w:bottom w:type="dxa" w:w="50"/>
              <w:right w:type="dxa" w:w="100"/>
            </w:tcMar>
          </w:tcPr>
          <w:p>
            <w:r>
              <w:rPr>
                <w:rFonts w:ascii="Arial" w:cs="Arial" w:eastAsia="Arial" w:hAnsi="Arial"/>
                <w:color w:val="1F2120"/>
                <w:sz w:val="20"/>
                <w:szCs w:val="20"/>
              </w:rPr>
              <w:t xml:space="preserve">Buying Decision + What’s Next</w:t>
            </w:r>
          </w:p>
        </w:tc>
        <w:tc>
          <w:tcPr>
            <w:tcW w:type="dxa" w:w="4760"/>
            <w:tcBorders>
              <w:top w:val="single" w:color="CCCCCC" w:sz="1"/>
              <w:left w:val="single" w:color="CCCCCC" w:sz="1"/>
              <w:bottom w:val="single" w:color="CCCCCC" w:sz="1"/>
              <w:right w:val="single" w:color="CCCCCC" w:sz="1"/>
            </w:tcBorders>
            <w:shd w:fill="F5F0E8" w:val="clear"/>
            <w:tcMar>
              <w:top w:type="dxa" w:w="50"/>
              <w:left w:type="dxa" w:w="100"/>
              <w:bottom w:type="dxa" w:w="50"/>
              <w:right w:type="dxa" w:w="100"/>
            </w:tcMar>
          </w:tcPr>
          <w:p>
            <w:r>
              <w:rPr>
                <w:rFonts w:ascii="Arial" w:cs="Arial" w:eastAsia="Arial" w:hAnsi="Arial"/>
                <w:color w:val="1F2120"/>
                <w:sz w:val="20"/>
                <w:szCs w:val="20"/>
              </w:rPr>
              <w:t xml:space="preserve">Slides 21–22. Frame the decision. Emphasize the landscape is shifting.</w:t>
            </w:r>
          </w:p>
        </w:tc>
      </w:tr>
      <w:tr>
        <w:tc>
          <w:tcPr>
            <w:tcW w:type="dxa" w:w="1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color w:val="1F2120"/>
                <w:sz w:val="20"/>
                <w:szCs w:val="20"/>
              </w:rPr>
              <w:t xml:space="preserve">0:55–1:00</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color w:val="1F2120"/>
                <w:sz w:val="20"/>
                <w:szCs w:val="20"/>
              </w:rPr>
              <w:t xml:space="preserve">Toolkit + Q&amp;A + Wrap-up</w:t>
            </w:r>
          </w:p>
        </w:tc>
        <w:tc>
          <w:tcPr>
            <w:tcW w:type="dxa" w:w="47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color w:val="1F2120"/>
                <w:sz w:val="20"/>
                <w:szCs w:val="20"/>
              </w:rPr>
              <w:t xml:space="preserve">Slides 23–25. Point to materials. Answer questions. Thank attendees.</w:t>
            </w:r>
          </w:p>
        </w:tc>
      </w:tr>
    </w:tbl>
    <w:p>
      <w:r>
        <w:br w:type="page"/>
      </w:r>
    </w:p>
    <w:p>
      <w:pPr>
        <w:pStyle w:val="Heading1"/>
      </w:pPr>
      <w:r>
        <w:rPr>
          <w:rFonts w:ascii="Arial Black" w:cs="Arial Black" w:eastAsia="Arial Black" w:hAnsi="Arial Black"/>
          <w:b/>
          <w:bCs/>
        </w:rPr>
        <w:t xml:space="preserve">Pre-Session Checklist</w:t>
      </w:r>
    </w:p>
    <w:p>
      <w:pPr>
        <w:pStyle w:val="Heading2"/>
      </w:pPr>
      <w:r>
        <w:rPr>
          <w:rFonts w:ascii="Arial Black" w:cs="Arial Black" w:eastAsia="Arial Black" w:hAnsi="Arial Black"/>
          <w:b/>
          <w:bCs/>
        </w:rPr>
        <w:t xml:space="preserve">Technical Setup (30 min before)</w:t>
      </w:r>
    </w:p>
    <w:p>
      <w:pPr>
        <w:pStyle w:val="ListParagraph"/>
        <w:numPr>
          <w:ilvl w:val="0"/>
          <w:numId w:val="2"/>
        </w:numPr>
        <w:spacing w:after="60"/>
      </w:pPr>
      <w:r>
        <w:rPr>
          <w:rFonts w:ascii="Arial" w:cs="Arial" w:eastAsia="Arial" w:hAnsi="Arial"/>
          <w:color w:val="1F2120"/>
          <w:sz w:val="22"/>
          <w:szCs w:val="22"/>
        </w:rPr>
        <w:t xml:space="preserve">Open the workbook (copilot-vs-claude-compare-start.xlsx) in Excel</w:t>
      </w:r>
    </w:p>
    <w:p>
      <w:pPr>
        <w:pStyle w:val="ListParagraph"/>
        <w:numPr>
          <w:ilvl w:val="0"/>
          <w:numId w:val="2"/>
        </w:numPr>
        <w:spacing w:after="60"/>
      </w:pPr>
      <w:r>
        <w:rPr>
          <w:rFonts w:ascii="Arial" w:cs="Arial" w:eastAsia="Arial" w:hAnsi="Arial"/>
          <w:color w:val="1F2120"/>
          <w:sz w:val="22"/>
          <w:szCs w:val="22"/>
        </w:rPr>
        <w:t xml:space="preserve">Verify Copilot add-in is active and "Edit with Copilot" is enabled</w:t>
      </w:r>
    </w:p>
    <w:p>
      <w:pPr>
        <w:pStyle w:val="ListParagraph"/>
        <w:numPr>
          <w:ilvl w:val="0"/>
          <w:numId w:val="2"/>
        </w:numPr>
        <w:spacing w:after="60"/>
      </w:pPr>
      <w:r>
        <w:rPr>
          <w:rFonts w:ascii="Arial" w:cs="Arial" w:eastAsia="Arial" w:hAnsi="Arial"/>
          <w:color w:val="1F2120"/>
          <w:sz w:val="22"/>
          <w:szCs w:val="22"/>
        </w:rPr>
        <w:t xml:space="preserve">Verify Claude add-in is installed and signed in</w:t>
      </w:r>
    </w:p>
    <w:p>
      <w:pPr>
        <w:pStyle w:val="ListParagraph"/>
        <w:numPr>
          <w:ilvl w:val="0"/>
          <w:numId w:val="2"/>
        </w:numPr>
        <w:spacing w:after="60"/>
      </w:pPr>
      <w:r>
        <w:rPr>
          <w:rFonts w:ascii="Arial" w:cs="Arial" w:eastAsia="Arial" w:hAnsi="Arial"/>
          <w:color w:val="1F2120"/>
          <w:sz w:val="22"/>
          <w:szCs w:val="22"/>
        </w:rPr>
        <w:t xml:space="preserve">Set Copilot model to Opus 4.5 (under three-dot menu)</w:t>
      </w:r>
    </w:p>
    <w:p>
      <w:pPr>
        <w:pStyle w:val="ListParagraph"/>
        <w:numPr>
          <w:ilvl w:val="0"/>
          <w:numId w:val="2"/>
        </w:numPr>
        <w:spacing w:after="60"/>
      </w:pPr>
      <w:r>
        <w:rPr>
          <w:rFonts w:ascii="Arial" w:cs="Arial" w:eastAsia="Arial" w:hAnsi="Arial"/>
          <w:color w:val="1F2120"/>
          <w:sz w:val="22"/>
          <w:szCs w:val="22"/>
        </w:rPr>
        <w:t xml:space="preserve">Set Claude add-in to Opus 4.5</w:t>
      </w:r>
    </w:p>
    <w:p>
      <w:pPr>
        <w:pStyle w:val="ListParagraph"/>
        <w:numPr>
          <w:ilvl w:val="0"/>
          <w:numId w:val="2"/>
        </w:numPr>
        <w:spacing w:after="60"/>
      </w:pPr>
      <w:r>
        <w:rPr>
          <w:rFonts w:ascii="Arial" w:cs="Arial" w:eastAsia="Arial" w:hAnsi="Arial"/>
          <w:color w:val="1F2120"/>
          <w:sz w:val="22"/>
          <w:szCs w:val="22"/>
        </w:rPr>
        <w:t xml:space="preserve">Open the Prompt sheet — have both prompts ready to paste</w:t>
      </w:r>
    </w:p>
    <w:p>
      <w:pPr>
        <w:pStyle w:val="ListParagraph"/>
        <w:numPr>
          <w:ilvl w:val="0"/>
          <w:numId w:val="2"/>
        </w:numPr>
        <w:spacing w:after="60"/>
      </w:pPr>
      <w:r>
        <w:rPr>
          <w:rFonts w:ascii="Arial" w:cs="Arial" w:eastAsia="Arial" w:hAnsi="Arial"/>
          <w:color w:val="1F2120"/>
          <w:sz w:val="22"/>
          <w:szCs w:val="22"/>
        </w:rPr>
        <w:t xml:space="preserve">Test screen sharing — make sure both add-in panels are visible</w:t>
      </w:r>
    </w:p>
    <w:p>
      <w:pPr>
        <w:pStyle w:val="ListParagraph"/>
        <w:numPr>
          <w:ilvl w:val="0"/>
          <w:numId w:val="2"/>
        </w:numPr>
        <w:spacing w:after="60"/>
      </w:pPr>
      <w:r>
        <w:rPr>
          <w:rFonts w:ascii="Arial" w:cs="Arial" w:eastAsia="Arial" w:hAnsi="Arial"/>
          <w:color w:val="1F2120"/>
          <w:sz w:val="22"/>
          <w:szCs w:val="22"/>
        </w:rPr>
        <w:t xml:space="preserve">Clear any previous AI chat history in both tools</w:t>
      </w:r>
    </w:p>
    <w:p>
      <w:pPr>
        <w:pStyle w:val="Heading2"/>
      </w:pPr>
      <w:r>
        <w:rPr>
          <w:rFonts w:ascii="Arial Black" w:cs="Arial Black" w:eastAsia="Arial Black" w:hAnsi="Arial Black"/>
          <w:b/>
          <w:bCs/>
        </w:rPr>
        <w:t xml:space="preserve">Materials Check</w:t>
      </w:r>
    </w:p>
    <w:p>
      <w:pPr>
        <w:pStyle w:val="ListParagraph"/>
        <w:numPr>
          <w:ilvl w:val="0"/>
          <w:numId w:val="2"/>
        </w:numPr>
        <w:spacing w:after="60"/>
      </w:pPr>
      <w:r>
        <w:rPr>
          <w:rFonts w:ascii="Arial" w:cs="Arial" w:eastAsia="Arial" w:hAnsi="Arial"/>
          <w:color w:val="1F2120"/>
          <w:sz w:val="22"/>
          <w:szCs w:val="22"/>
        </w:rPr>
        <w:t xml:space="preserve">Slide deck loaded and in presenter view</w:t>
      </w:r>
    </w:p>
    <w:p>
      <w:pPr>
        <w:pStyle w:val="ListParagraph"/>
        <w:numPr>
          <w:ilvl w:val="0"/>
          <w:numId w:val="2"/>
        </w:numPr>
        <w:spacing w:after="60"/>
      </w:pPr>
      <w:r>
        <w:rPr>
          <w:rFonts w:ascii="Arial" w:cs="Arial" w:eastAsia="Arial" w:hAnsi="Arial"/>
          <w:color w:val="1F2120"/>
          <w:sz w:val="22"/>
          <w:szCs w:val="22"/>
        </w:rPr>
        <w:t xml:space="preserve">Comparison handout PDF ready for distribution</w:t>
      </w:r>
    </w:p>
    <w:p>
      <w:pPr>
        <w:pStyle w:val="ListParagraph"/>
        <w:numPr>
          <w:ilvl w:val="0"/>
          <w:numId w:val="2"/>
        </w:numPr>
        <w:spacing w:after="60"/>
      </w:pPr>
      <w:r>
        <w:rPr>
          <w:rFonts w:ascii="Arial" w:cs="Arial" w:eastAsia="Arial" w:hAnsi="Arial"/>
          <w:color w:val="1F2120"/>
          <w:sz w:val="22"/>
          <w:szCs w:val="22"/>
        </w:rPr>
        <w:t xml:space="preserve">Quick reference card PDF ready for distribution</w:t>
      </w:r>
    </w:p>
    <w:p>
      <w:pPr>
        <w:pStyle w:val="ListParagraph"/>
        <w:numPr>
          <w:ilvl w:val="0"/>
          <w:numId w:val="2"/>
        </w:numPr>
        <w:spacing w:after="60"/>
      </w:pPr>
      <w:r>
        <w:rPr>
          <w:rFonts w:ascii="Arial" w:cs="Arial" w:eastAsia="Arial" w:hAnsi="Arial"/>
          <w:color w:val="1F2120"/>
          <w:sz w:val="22"/>
          <w:szCs w:val="22"/>
        </w:rPr>
        <w:t xml:space="preserve">Download link for practice workbook ready to share</w:t>
      </w:r>
    </w:p>
    <w:p>
      <w:pPr>
        <w:pStyle w:val="ListParagraph"/>
        <w:numPr>
          <w:ilvl w:val="0"/>
          <w:numId w:val="2"/>
        </w:numPr>
        <w:spacing w:after="60"/>
      </w:pPr>
      <w:r>
        <w:rPr>
          <w:rFonts w:ascii="Arial" w:cs="Arial" w:eastAsia="Arial" w:hAnsi="Arial"/>
          <w:color w:val="1F2120"/>
          <w:sz w:val="22"/>
          <w:szCs w:val="22"/>
        </w:rPr>
        <w:t xml:space="preserve">Excel AI Style Guide document ready to share</w:t>
      </w:r>
    </w:p>
    <w:p>
      <w:pPr>
        <w:pBdr>
          <w:left w:val="single" w:color="CF3338" w:sz="12" w:space="4"/>
        </w:pBdr>
        <w:spacing w:after="80" w:before="80"/>
        <w:ind w:left="360"/>
      </w:pPr>
      <w:r>
        <w:rPr>
          <w:rFonts w:ascii="Arial" w:cs="Arial" w:eastAsia="Arial" w:hAnsi="Arial"/>
          <w:b/>
          <w:bCs/>
          <w:color w:val="CF3338"/>
          <w:sz w:val="20"/>
          <w:szCs w:val="20"/>
        </w:rPr>
        <w:t xml:space="preserve">TIP: </w:t>
      </w:r>
      <w:r>
        <w:rPr>
          <w:rFonts w:ascii="Arial" w:cs="Arial" w:eastAsia="Arial" w:hAnsi="Arial"/>
          <w:color w:val="707070"/>
          <w:sz w:val="20"/>
          <w:szCs w:val="20"/>
        </w:rPr>
        <w:t xml:space="preserve">Run through both demos at least once before the session. AI results vary between runs — know what range of outcomes to expect so you can narrate confidently. NOTE: The dataset now includes four intentional curveballs at the bottom: (1) a vendor typo (“Starbuks” instead of Starbucks), (2) a “team building event” at Marriott that could be Lodging, Meals, or Entertainment, (3) a negative-amount refund (Amazon return for -$67.30), and (4) a duplicate Delta Airlines flight that matches an earlier row. Use these during the categorization demo to show how each tool handles messy data. These rows are your best concrete examples for Principle 1 (always review AI output).</w:t>
      </w:r>
    </w:p>
    <w:p>
      <w:r>
        <w:br w:type="page"/>
      </w:r>
    </w:p>
    <w:p>
      <w:pPr>
        <w:pStyle w:val="Heading1"/>
      </w:pPr>
      <w:r>
        <w:rPr>
          <w:rFonts w:ascii="Arial Black" w:cs="Arial Black" w:eastAsia="Arial Black" w:hAnsi="Arial Black"/>
          <w:b/>
          <w:bCs/>
        </w:rPr>
        <w:t xml:space="preserve">Section-by-Section Notes</w:t>
      </w:r>
    </w:p>
    <w:p>
      <w:pPr>
        <w:pStyle w:val="Heading2"/>
      </w:pPr>
      <w:r>
        <w:rPr>
          <w:rFonts w:ascii="Arial Black" w:cs="Arial Black" w:eastAsia="Arial Black" w:hAnsi="Arial Black"/>
          <w:b/>
          <w:bCs/>
        </w:rPr>
        <w:t xml:space="preserve">Opening (Slides 1–5)</w:t>
      </w:r>
    </w:p>
    <w:p>
      <w:pPr>
        <w:spacing w:after="120"/>
      </w:pPr>
      <w:r>
        <w:rPr>
          <w:rFonts w:ascii="Arial" w:cs="Arial" w:eastAsia="Arial" w:hAnsi="Arial"/>
          <w:color w:val="1F2120"/>
          <w:sz w:val="22"/>
          <w:szCs w:val="22"/>
        </w:rPr>
        <w:t xml:space="preserve">Set the tone early: this is a practical, neutral comparison. You are not selling either tool. Acknowledge that the audience likely has strong opinions — that’s fine. The goal is to give them data to back up those opinions.</w:t>
      </w:r>
    </w:p>
    <w:p>
      <w:pPr>
        <w:spacing w:after="120"/>
      </w:pPr>
      <w:r>
        <w:rPr>
          <w:rFonts w:ascii="Arial" w:cs="Arial" w:eastAsia="Arial" w:hAnsi="Arial"/>
          <w:color w:val="1F2120"/>
          <w:sz w:val="22"/>
          <w:szCs w:val="22"/>
        </w:rPr>
        <w:t xml:space="preserve">Key talking point: You can now run Claude models inside Copilot. So the question isn’t really “which model is better?” It’s “which wrapper and ecosystem fits your workflow?”</w:t>
      </w:r>
    </w:p>
    <w:p>
      <w:pPr>
        <w:pBdr>
          <w:left w:val="single" w:color="CF3338" w:sz="12" w:space="4"/>
        </w:pBdr>
        <w:spacing w:after="80" w:before="80"/>
        <w:ind w:left="360"/>
      </w:pPr>
      <w:r>
        <w:rPr>
          <w:rFonts w:ascii="Arial" w:cs="Arial" w:eastAsia="Arial" w:hAnsi="Arial"/>
          <w:b/>
          <w:bCs/>
          <w:color w:val="CF3338"/>
          <w:sz w:val="20"/>
          <w:szCs w:val="20"/>
        </w:rPr>
        <w:t xml:space="preserve">TIP: </w:t>
      </w:r>
      <w:r>
        <w:rPr>
          <w:rFonts w:ascii="Arial" w:cs="Arial" w:eastAsia="Arial" w:hAnsi="Arial"/>
          <w:color w:val="707070"/>
          <w:sz w:val="20"/>
          <w:szCs w:val="20"/>
        </w:rPr>
        <w:t xml:space="preserve">If anyone asks about ChatGPT in Excel — acknowledge it exists but say it’s outside today’s scope. You can mention you had it on the ribbon but chose to focus on the two most-discussed options.</w:t>
      </w:r>
    </w:p>
    <w:p>
      <w:pPr>
        <w:pStyle w:val="Heading2"/>
      </w:pPr>
      <w:r>
        <w:rPr>
          <w:rFonts w:ascii="Arial Black" w:cs="Arial Black" w:eastAsia="Arial Black" w:hAnsi="Arial Black"/>
          <w:b/>
          <w:bCs/>
        </w:rPr>
        <w:t xml:space="preserve">Live Demos (Slides 8–10)</w:t>
      </w:r>
    </w:p>
    <w:p>
      <w:pPr>
        <w:spacing w:after="120"/>
      </w:pPr>
      <w:r>
        <w:rPr>
          <w:rFonts w:ascii="Arial" w:cs="Arial" w:eastAsia="Arial" w:hAnsi="Arial"/>
          <w:color w:val="1F2120"/>
          <w:sz w:val="22"/>
          <w:szCs w:val="22"/>
        </w:rPr>
        <w:t xml:space="preserve">Go slow and narrate what you’re doing. The audience needs to see the full workflow: open the add-in, paste the prompt, wait for results, review. Run both tasks in sequence.</w:t>
      </w:r>
    </w:p>
    <w:p>
      <w:pPr>
        <w:spacing w:after="120"/>
      </w:pPr>
      <w:r>
        <w:rPr>
          <w:rFonts w:ascii="Arial" w:cs="Arial" w:eastAsia="Arial" w:hAnsi="Arial"/>
          <w:color w:val="1F2120"/>
          <w:sz w:val="22"/>
          <w:szCs w:val="22"/>
        </w:rPr>
        <w:t xml:space="preserve">Key things to call out during the demos:</w:t>
      </w:r>
    </w:p>
    <w:p>
      <w:pPr>
        <w:pStyle w:val="ListParagraph"/>
        <w:numPr>
          <w:ilvl w:val="0"/>
          <w:numId w:val="2"/>
        </w:numPr>
        <w:spacing w:after="60"/>
      </w:pPr>
      <w:r>
        <w:rPr>
          <w:rFonts w:ascii="Arial" w:cs="Arial" w:eastAsia="Arial" w:hAnsi="Arial"/>
          <w:color w:val="1F2120"/>
          <w:sz w:val="22"/>
          <w:szCs w:val="22"/>
        </w:rPr>
        <w:t xml:space="preserve">Copilot’s "Edit with Copilot" toggle — explain what it does</w:t>
      </w:r>
    </w:p>
    <w:p>
      <w:pPr>
        <w:pStyle w:val="ListParagraph"/>
        <w:numPr>
          <w:ilvl w:val="0"/>
          <w:numId w:val="2"/>
        </w:numPr>
        <w:spacing w:after="60"/>
      </w:pPr>
      <w:r>
        <w:rPr>
          <w:rFonts w:ascii="Arial" w:cs="Arial" w:eastAsia="Arial" w:hAnsi="Arial"/>
          <w:color w:val="1F2120"/>
          <w:sz w:val="22"/>
          <w:szCs w:val="22"/>
        </w:rPr>
        <w:t xml:space="preserve">Claude’s permission dialog — you have to approve each table modification</w:t>
      </w:r>
    </w:p>
    <w:p>
      <w:pPr>
        <w:pStyle w:val="ListParagraph"/>
        <w:numPr>
          <w:ilvl w:val="0"/>
          <w:numId w:val="2"/>
        </w:numPr>
        <w:spacing w:after="60"/>
      </w:pPr>
      <w:r>
        <w:rPr>
          <w:rFonts w:ascii="Arial" w:cs="Arial" w:eastAsia="Arial" w:hAnsi="Arial"/>
          <w:color w:val="1F2120"/>
          <w:sz w:val="22"/>
          <w:szCs w:val="22"/>
        </w:rPr>
        <w:t xml:space="preserve">Any ambiguous cases where the tools disagree — don’t judge right vs. wrong, just observe. Pay special attention to: the “Starbuks” typo (does the tool correct it?), the negative refund amount, the “team building event” (which category?), and the duplicate Delta flight</w:t>
      </w:r>
    </w:p>
    <w:p>
      <w:pPr>
        <w:pStyle w:val="ListParagraph"/>
        <w:numPr>
          <w:ilvl w:val="0"/>
          <w:numId w:val="2"/>
        </w:numPr>
        <w:spacing w:after="60"/>
      </w:pPr>
      <w:r>
        <w:rPr>
          <w:rFonts w:ascii="Arial" w:cs="Arial" w:eastAsia="Arial" w:hAnsi="Arial"/>
          <w:color w:val="1F2120"/>
          <w:sz w:val="22"/>
          <w:szCs w:val="22"/>
        </w:rPr>
        <w:t xml:space="preserve">For Task 2: did it use formulas or pivot tables? Did it create a new worksheet or overwrite?</w:t>
      </w:r>
    </w:p>
    <w:p>
      <w:pPr>
        <w:pStyle w:val="ListParagraph"/>
        <w:numPr>
          <w:ilvl w:val="0"/>
          <w:numId w:val="2"/>
        </w:numPr>
        <w:spacing w:after="60"/>
      </w:pPr>
      <w:r>
        <w:rPr>
          <w:rFonts w:ascii="Arial" w:cs="Arial" w:eastAsia="Arial" w:hAnsi="Arial"/>
          <w:color w:val="1F2120"/>
          <w:sz w:val="22"/>
          <w:szCs w:val="22"/>
        </w:rPr>
        <w:t xml:space="preserve">Neither tool is wrong when they disagree. These are judgment calls. The AI flagged it; now it’s your job to decide.</w:t>
      </w:r>
    </w:p>
    <w:p>
      <w:pPr>
        <w:pBdr>
          <w:left w:val="single" w:color="CF3338" w:sz="12" w:space="4"/>
        </w:pBdr>
        <w:spacing w:after="80" w:before="80"/>
        <w:ind w:left="360"/>
      </w:pPr>
      <w:r>
        <w:rPr>
          <w:rFonts w:ascii="Arial" w:cs="Arial" w:eastAsia="Arial" w:hAnsi="Arial"/>
          <w:b/>
          <w:bCs/>
          <w:color w:val="CF3338"/>
          <w:sz w:val="20"/>
          <w:szCs w:val="20"/>
        </w:rPr>
        <w:t xml:space="preserve">TIP: </w:t>
      </w:r>
      <w:r>
        <w:rPr>
          <w:rFonts w:ascii="Arial" w:cs="Arial" w:eastAsia="Arial" w:hAnsi="Arial"/>
          <w:color w:val="707070"/>
          <w:sz w:val="20"/>
          <w:szCs w:val="20"/>
        </w:rPr>
        <w:t xml:space="preserve">Results WILL vary from run to run. Don’t try to match specific outcomes. Narrate the patterns: permission model, output approach, how each tool handles ambiguity. If something unexpected happens, embrace it: “This is generative AI — this is exactly why we review.”</w:t>
      </w:r>
    </w:p>
    <w:p>
      <w:pPr>
        <w:pStyle w:val="Heading2"/>
      </w:pPr>
      <w:r>
        <w:rPr>
          <w:rFonts w:ascii="Arial Black" w:cs="Arial Black" w:eastAsia="Arial Black" w:hAnsi="Arial Black"/>
          <w:b/>
          <w:bCs/>
        </w:rPr>
        <w:t xml:space="preserve">Spec Sheet + Buying Decision (Slides 15, 22)</w:t>
      </w:r>
    </w:p>
    <w:p>
      <w:pPr>
        <w:spacing w:after="120"/>
      </w:pPr>
      <w:r>
        <w:rPr>
          <w:rFonts w:ascii="Arial" w:cs="Arial" w:eastAsia="Arial" w:hAnsi="Arial"/>
          <w:color w:val="1F2120"/>
          <w:sz w:val="22"/>
          <w:szCs w:val="22"/>
        </w:rPr>
        <w:t xml:space="preserve">Walk through the spec sheet methodically. Pause on data privacy — this is the question most organizations care about. Copilot = Microsoft ecosystem. Claude = Anthropic servers. This matters for regulated industries.</w:t>
      </w:r>
    </w:p>
    <w:p>
      <w:pPr>
        <w:spacing w:after="120"/>
      </w:pPr>
      <w:r>
        <w:rPr>
          <w:rFonts w:ascii="Arial" w:cs="Arial" w:eastAsia="Arial" w:hAnsi="Arial"/>
          <w:color w:val="1F2120"/>
          <w:sz w:val="22"/>
          <w:szCs w:val="22"/>
        </w:rPr>
        <w:t xml:space="preserve">On the buying decision: present it as “most users” vs. “power users.” Avoid declaring a winner. If pressed, use Deb Ashby’s framing: most organizations that have Copilot won’t also pay for Claude for general users. Power users with specific needs may benefit.</w:t>
      </w:r>
    </w:p>
    <w:p>
      <w:pPr>
        <w:pBdr>
          <w:left w:val="single" w:color="CF3338" w:sz="12" w:space="4"/>
        </w:pBdr>
        <w:spacing w:after="80" w:before="80"/>
        <w:ind w:left="360"/>
      </w:pPr>
      <w:r>
        <w:rPr>
          <w:rFonts w:ascii="Arial" w:cs="Arial" w:eastAsia="Arial" w:hAnsi="Arial"/>
          <w:b/>
          <w:bCs/>
          <w:color w:val="CF3338"/>
          <w:sz w:val="20"/>
          <w:szCs w:val="20"/>
        </w:rPr>
        <w:t xml:space="preserve">TIP: </w:t>
      </w:r>
      <w:r>
        <w:rPr>
          <w:rFonts w:ascii="Arial" w:cs="Arial" w:eastAsia="Arial" w:hAnsi="Arial"/>
          <w:color w:val="707070"/>
          <w:sz w:val="20"/>
          <w:szCs w:val="20"/>
        </w:rPr>
        <w:t xml:space="preserve">Expect the pricing question. Copilot is ~$30/user/month as part of M365. Claude Pro is ~$20/month separately. But Copilot gives you the whole M365 AI suite, not just Excel. Frame it as ecosystem vs. point solution.</w:t>
      </w:r>
    </w:p>
    <w:p>
      <w:pPr>
        <w:pStyle w:val="Heading2"/>
      </w:pPr>
      <w:r>
        <w:rPr>
          <w:rFonts w:ascii="Arial Black" w:cs="Arial Black" w:eastAsia="Arial Black" w:hAnsi="Arial Black"/>
          <w:b/>
          <w:bCs/>
        </w:rPr>
        <w:t xml:space="preserve">Universal Principles (Slides 16–21)</w:t>
      </w:r>
    </w:p>
    <w:p>
      <w:pPr>
        <w:spacing w:after="120"/>
      </w:pPr>
      <w:r>
        <w:rPr>
          <w:rFonts w:ascii="Arial" w:cs="Arial" w:eastAsia="Arial" w:hAnsi="Arial"/>
          <w:color w:val="1F2120"/>
          <w:sz w:val="22"/>
          <w:szCs w:val="22"/>
        </w:rPr>
        <w:t xml:space="preserve">This is the most important section. The tools will change; the principles won’t. Spend time here. Use concrete examples from the demos you just ran.</w:t>
      </w:r>
    </w:p>
    <w:p>
      <w:pPr>
        <w:spacing w:after="120"/>
      </w:pPr>
      <w:r>
        <w:rPr>
          <w:rFonts w:ascii="Arial" w:cs="Arial" w:eastAsia="Arial" w:hAnsi="Arial"/>
          <w:color w:val="1F2120"/>
          <w:sz w:val="22"/>
          <w:szCs w:val="22"/>
        </w:rPr>
        <w:t xml:space="preserve">For Principle 3 (Style Guide): Show the Excel AI Style Guide document. Explain that you paste it at the start of a session. It’s included in their materials.</w:t>
      </w:r>
    </w:p>
    <w:p>
      <w:pPr>
        <w:pBdr>
          <w:left w:val="single" w:color="CF3338" w:sz="12" w:space="4"/>
        </w:pBdr>
        <w:spacing w:after="80" w:before="80"/>
        <w:ind w:left="360"/>
      </w:pPr>
      <w:r>
        <w:rPr>
          <w:rFonts w:ascii="Arial" w:cs="Arial" w:eastAsia="Arial" w:hAnsi="Arial"/>
          <w:b/>
          <w:bCs/>
          <w:color w:val="CF3338"/>
          <w:sz w:val="20"/>
          <w:szCs w:val="20"/>
        </w:rPr>
        <w:t xml:space="preserve">TIP: </w:t>
      </w:r>
      <w:r>
        <w:rPr>
          <w:rFonts w:ascii="Arial" w:cs="Arial" w:eastAsia="Arial" w:hAnsi="Arial"/>
          <w:color w:val="707070"/>
          <w:sz w:val="20"/>
          <w:szCs w:val="20"/>
        </w:rPr>
        <w:t xml:space="preserve">The style guide is the single most practical takeaway. If attendees remember one thing, it should be: “Paste your standards at the start of every AI session.”</w:t>
      </w:r>
    </w:p>
    <w:p>
      <w:pPr>
        <w:pStyle w:val="Heading2"/>
      </w:pPr>
      <w:r>
        <w:rPr>
          <w:rFonts w:ascii="Arial Black" w:cs="Arial Black" w:eastAsia="Arial Black" w:hAnsi="Arial Black"/>
          <w:b/>
          <w:bCs/>
        </w:rPr>
        <w:t xml:space="preserve">Q&amp;A (Slides 26–27)</w:t>
      </w:r>
    </w:p>
    <w:p>
      <w:pPr>
        <w:spacing w:after="120"/>
      </w:pPr>
      <w:r>
        <w:rPr>
          <w:rFonts w:ascii="Arial" w:cs="Arial" w:eastAsia="Arial" w:hAnsi="Arial"/>
          <w:color w:val="1F2120"/>
          <w:sz w:val="22"/>
          <w:szCs w:val="22"/>
        </w:rPr>
        <w:t xml:space="preserve">Anticipated questions and suggested answers:</w:t>
      </w:r>
    </w:p>
    <w:p>
      <w:pPr>
        <w:pStyle w:val="Heading3"/>
      </w:pPr>
      <w:r>
        <w:rPr>
          <w:rFonts w:ascii="Arial" w:cs="Arial" w:eastAsia="Arial" w:hAnsi="Arial"/>
          <w:b/>
          <w:bCs/>
        </w:rPr>
        <w:t xml:space="preserve">"If Copilot can run Claude models, why would I use the Claude add-in?"</w:t>
      </w:r>
    </w:p>
    <w:p>
      <w:pPr>
        <w:spacing w:after="120"/>
      </w:pPr>
      <w:r>
        <w:rPr>
          <w:rFonts w:ascii="Arial" w:cs="Arial" w:eastAsia="Arial" w:hAnsi="Arial"/>
          <w:color w:val="1F2120"/>
          <w:sz w:val="22"/>
          <w:szCs w:val="22"/>
        </w:rPr>
        <w:t xml:space="preserve">Short answer: for most Excel-only use cases, you probably don’t need the separate add-in. The add-in exists for the broader Claude ecosystem — Cowork, Code, API. If you only care about Excel, Copilot with Claude models gives you the best of both.</w:t>
      </w:r>
    </w:p>
    <w:p>
      <w:pPr>
        <w:pStyle w:val="Heading3"/>
      </w:pPr>
      <w:r>
        <w:rPr>
          <w:rFonts w:ascii="Arial" w:cs="Arial" w:eastAsia="Arial" w:hAnsi="Arial"/>
          <w:b/>
          <w:bCs/>
        </w:rPr>
        <w:t xml:space="preserve">"Is my data safe with these tools?"</w:t>
      </w:r>
    </w:p>
    <w:p>
      <w:pPr>
        <w:spacing w:after="120"/>
      </w:pPr>
      <w:r>
        <w:rPr>
          <w:rFonts w:ascii="Arial" w:cs="Arial" w:eastAsia="Arial" w:hAnsi="Arial"/>
          <w:color w:val="1F2120"/>
          <w:sz w:val="22"/>
          <w:szCs w:val="22"/>
        </w:rPr>
        <w:t xml:space="preserve">Point them to their IT team. Copilot uses the same Microsoft data handling as the rest of M365. Claude routes data through Anthropic. For regulated industries (finance, healthcare), this is a conversation with compliance, not a question for a workshop.</w:t>
      </w:r>
    </w:p>
    <w:p>
      <w:pPr>
        <w:pStyle w:val="Heading3"/>
      </w:pPr>
      <w:r>
        <w:rPr>
          <w:rFonts w:ascii="Arial" w:cs="Arial" w:eastAsia="Arial" w:hAnsi="Arial"/>
          <w:b/>
          <w:bCs/>
        </w:rPr>
        <w:t xml:space="preserve">"Which one should my organization buy?"</w:t>
      </w:r>
    </w:p>
    <w:p>
      <w:pPr>
        <w:spacing w:after="120"/>
      </w:pPr>
      <w:r>
        <w:rPr>
          <w:rFonts w:ascii="Arial" w:cs="Arial" w:eastAsia="Arial" w:hAnsi="Arial"/>
          <w:color w:val="1F2120"/>
          <w:sz w:val="22"/>
          <w:szCs w:val="22"/>
        </w:rPr>
        <w:t xml:space="preserve">Redirect to the buying guide framework: most users land on Copilot because it’s already in the ecosystem. Specific power-user teams may benefit from Claude. Evaluate based on use case, not brand preference.</w:t>
      </w:r>
    </w:p>
    <w:p>
      <w:pPr>
        <w:pStyle w:val="Heading3"/>
      </w:pPr>
      <w:r>
        <w:rPr>
          <w:rFonts w:ascii="Arial" w:cs="Arial" w:eastAsia="Arial" w:hAnsi="Arial"/>
          <w:b/>
          <w:bCs/>
        </w:rPr>
        <w:t xml:space="preserve">"Will these tools replace Excel skills?"</w:t>
      </w:r>
    </w:p>
    <w:p>
      <w:pPr>
        <w:spacing w:after="120"/>
      </w:pPr>
      <w:r>
        <w:rPr>
          <w:rFonts w:ascii="Arial" w:cs="Arial" w:eastAsia="Arial" w:hAnsi="Arial"/>
          <w:color w:val="1F2120"/>
          <w:sz w:val="22"/>
          <w:szCs w:val="22"/>
        </w:rPr>
        <w:t xml:space="preserve">No. They amplify Excel skills. You need to understand what a SUMIF does to verify the AI used it correctly. The tools lower the floor (beginners can do more) but they don’t eliminate the need to understand the output.</w:t>
      </w:r>
    </w:p>
    <w:p>
      <w:pPr>
        <w:pBdr>
          <w:top w:val="single" w:color="CF3338" w:sz="4" w:space="1"/>
        </w:pBdr>
        <w:spacing w:before="300"/>
      </w:pPr>
    </w:p>
    <w:p>
      <w:pPr>
        <w:spacing w:before="100"/>
      </w:pPr>
      <w:r>
        <w:rPr>
          <w:rFonts w:ascii="Arial" w:cs="Arial" w:eastAsia="Arial" w:hAnsi="Arial"/>
          <w:color w:val="707070"/>
          <w:sz w:val="20"/>
          <w:szCs w:val="20"/>
        </w:rPr>
        <w:t xml:space="preserve">George Mount  |  Stringfest Analytics  |  stringfestanalytics.com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07070"/>
        <w:sz w:val="16"/>
        <w:szCs w:val="16"/>
      </w:rPr>
      <w:t xml:space="preserve">Page </w:t>
    </w:r>
    <w:r>
      <w:rPr>
        <w:rFonts w:ascii="Arial" w:cs="Arial" w:eastAsia="Arial" w:hAnsi="Arial"/>
        <w:color w:val="707070"/>
        <w:sz w:val="16"/>
        <w:szCs w:val="16"/>
      </w:rPr>
      <w:fldChar w:fldCharType="begin"/>
      <w:instrText xml:space="preserve">PAGE</w:instrText>
      <w:fldChar w:fldCharType="separate"/>
      <w:fldChar w:fldCharType="end"/>
    </w:r>
    <w:r>
      <w:rPr>
        <w:rFonts w:ascii="Arial" w:cs="Arial" w:eastAsia="Arial" w:hAnsi="Arial"/>
        <w:color w:val="707070"/>
        <w:sz w:val="16"/>
        <w:szCs w:val="16"/>
      </w:rPr>
      <w:t xml:space="preserve">  |  Instructor Notes  |  stringfestanalytics.com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3338" w:sz="6" w:space="1"/>
      </w:pBdr>
      <w:tabs>
        <w:tab w:val="right" w:pos="9026"/>
      </w:tabs>
    </w:pPr>
    <w:r>
      <w:rPr>
        <w:rFonts w:ascii="Arial Black" w:cs="Arial Black" w:eastAsia="Arial Black" w:hAnsi="Arial Black"/>
        <w:b/>
        <w:bCs/>
        <w:color w:val="CF3338"/>
        <w:sz w:val="18"/>
        <w:szCs w:val="18"/>
      </w:rPr>
      <w:t xml:space="preserve">Stringfest Analytics</w:t>
    </w:r>
    <w:r>
      <w:t xml:space="preserve">	</w:t>
    </w:r>
    <w:r>
      <w:rPr>
        <w:rFonts w:ascii="Arial" w:cs="Arial" w:eastAsia="Arial" w:hAnsi="Arial"/>
        <w:color w:val="707070"/>
        <w:sz w:val="16"/>
        <w:szCs w:val="16"/>
      </w:rPr>
      <w:t xml:space="preserve">Instructor Notes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Black" w:cs="Arial Black" w:eastAsia="Arial Black" w:hAnsi="Arial Black"/>
      <w:b/>
      <w:bCs/>
      <w:color w:val="CF3338"/>
      <w:sz w:val="32"/>
      <w:szCs w:val="32"/>
    </w:rPr>
  </w:style>
  <w:style w:type="paragraph" w:styleId="Heading2">
    <w:name w:val="Heading 2"/>
    <w:basedOn w:val="Normal"/>
    <w:next w:val="Normal"/>
    <w:qFormat/>
    <w:pPr>
      <w:spacing w:after="120" w:before="240"/>
      <w:outlineLvl w:val="1"/>
    </w:pPr>
    <w:rPr>
      <w:rFonts w:ascii="Arial Black" w:cs="Arial Black" w:eastAsia="Arial Black" w:hAnsi="Arial Black"/>
      <w:b/>
      <w:bCs/>
      <w:color w:val="C00000"/>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F212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2026-03-23T14:15:13.688Z</dcterms:created>
  <dcterms:modified xsi:type="dcterms:W3CDTF">2026-03-23T14:15:13.688Z</dcterms:modified>
</cp:coreProperties>
</file>

<file path=docProps/custom.xml><?xml version="1.0" encoding="utf-8"?>
<Properties xmlns="http://schemas.openxmlformats.org/officeDocument/2006/custom-properties" xmlns:vt="http://schemas.openxmlformats.org/officeDocument/2006/docPropsVTypes"/>
</file>