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6FA63C"/>
          <w:sz w:val="22"/>
        </w:rPr>
        <w:t>RUN OF SHOW</w:t>
      </w:r>
    </w:p>
    <w:p>
      <w:pPr>
        <w:spacing w:after="80"/>
      </w:pPr>
      <w:r>
        <w:rPr>
          <w:rFonts w:ascii="Calibri" w:hAnsi="Calibri"/>
          <w:b/>
          <w:color w:val="101110"/>
          <w:sz w:val="44"/>
        </w:rPr>
        <w:t>Run-of-Show — Session 3: Build &amp; Ship a Reusable Workflow</w:t>
      </w:r>
    </w:p>
    <w:p>
      <w:pPr>
        <w:spacing w:before="40" w:after="160"/>
        <w:pBdr>
          <w:bottom w:val="single" w:sz="18" w:space="1" w:color="B1E882"/>
        </w:pBdr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Length:</w:t>
      </w:r>
      <w:r>
        <w:rPr>
          <w:rFonts w:ascii="Calibri" w:hAnsi="Calibri"/>
          <w:color w:val="101110"/>
          <w:sz w:val="22"/>
        </w:rPr>
        <w:t xml:space="preserve"> 90 min · </w:t>
      </w:r>
      <w:r>
        <w:rPr>
          <w:rFonts w:ascii="Calibri" w:hAnsi="Calibri"/>
          <w:b/>
          <w:color w:val="101110"/>
          <w:sz w:val="22"/>
        </w:rPr>
        <w:t>Deck: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slides/session-3-build-ship-workflow.pptx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alibri" w:hAnsi="Calibri"/>
          <w:b/>
          <w:color w:val="101110"/>
          <w:sz w:val="22"/>
        </w:rPr>
        <w:t>Datasets: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datasets/session-3/monthly-expenses/*.csv</w:t>
      </w:r>
      <w:r>
        <w:rPr>
          <w:rFonts w:ascii="Calibri" w:hAnsi="Calibri"/>
          <w:color w:val="101110"/>
          <w:sz w:val="22"/>
        </w:rPr>
        <w:t xml:space="preserve"> + </w:t>
      </w:r>
      <w:r>
        <w:rPr>
          <w:rFonts w:ascii="Consolas" w:hAnsi="Consolas"/>
          <w:color w:val="333333"/>
          <w:sz w:val="22"/>
        </w:rPr>
        <w:t>vendor-master.xlsx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alibri" w:hAnsi="Calibri"/>
          <w:b/>
          <w:color w:val="101110"/>
          <w:sz w:val="22"/>
        </w:rPr>
        <w:t>Solution: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solutions/session-3-workflow-solution.md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alibri" w:hAnsi="Calibri"/>
          <w:b/>
          <w:color w:val="101110"/>
          <w:sz w:val="22"/>
        </w:rPr>
        <w:t>Capstone:</w:t>
      </w:r>
      <w:r>
        <w:rPr>
          <w:rFonts w:ascii="Calibri" w:hAnsi="Calibri"/>
          <w:color w:val="101110"/>
          <w:sz w:val="22"/>
        </w:rPr>
        <w:t xml:space="preserve"> </w:t>
      </w:r>
      <w:r>
        <w:rPr>
          <w:rFonts w:ascii="Consolas" w:hAnsi="Consolas"/>
          <w:color w:val="333333"/>
          <w:sz w:val="22"/>
        </w:rPr>
        <w:t>capstone/capstone-brief.md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Goal for the day: build a report that </w:t>
      </w:r>
      <w:r>
        <w:rPr>
          <w:rFonts w:ascii="Calibri" w:hAnsi="Calibri"/>
          <w:b/>
          <w:color w:val="101110"/>
          <w:sz w:val="22"/>
        </w:rPr>
        <w:t>refreshes itself</w:t>
      </w:r>
      <w:r>
        <w:rPr>
          <w:rFonts w:ascii="Calibri" w:hAnsi="Calibri"/>
          <w:color w:val="101110"/>
          <w:sz w:val="22"/>
        </w:rPr>
        <w:t xml:space="preserve"> when next month's file lands, and launch every learner into a capstone that's the same pattern on their own data. The live build is the marquee moment of the whole course.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c>
          <w:tcPr>
            <w:tcW w:type="dxa" w:w="1930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930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Min</w:t>
            </w:r>
          </w:p>
        </w:tc>
        <w:tc>
          <w:tcPr>
            <w:tcW w:type="dxa" w:w="1930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Slide</w:t>
            </w:r>
          </w:p>
        </w:tc>
        <w:tc>
          <w:tcPr>
            <w:tcW w:type="dxa" w:w="1930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Segment</w:t>
            </w:r>
          </w:p>
        </w:tc>
        <w:tc>
          <w:tcPr>
            <w:tcW w:type="dxa" w:w="1930"/>
            <w:shd w:val="clear" w:fill="101110"/>
          </w:tcPr>
          <w:p>
            <w:r>
              <w:rPr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0:00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Welcome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Energy up — payoff day. Who brought their own data sample? They can build something real today.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2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2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Agenda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"By the end, a report updates with one click — that click is the whole course."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The shift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Reset "done": a capstone is a workflow, not a number. Say it slowly.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0:08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Anatomy of a workflow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The four boxes = the capstone template. Tell them to screenshot it as their checklist.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0:13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2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Live build divider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Open the session-3 folder — three CSVs sitting there. Goal: April's file → one Refresh.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0:15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18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6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b/>
                <w:color w:val="101110"/>
                <w:sz w:val="20"/>
              </w:rPr>
              <w:t>Live build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The most important demo of the course. Keystone = "From Folder" (next month is free). Note an unmatched vendor → blank-category QC. Climax: add a 4th file, Refresh, watch it move.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0:33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7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The payoff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"How many hours/month would one-click save YOU?" Chat answers → capstone motivation.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0:37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7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8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Document with AI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Generate a run-book live, then edit one line to "make it true." Part of the rubric — don't skip.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0:44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6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9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Where workflows break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Credibility slide. Schema drift + locale dates are what they'll actually hit. Division of labor: PQ = pipeline, AI = snippets + docs.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0:50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10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Your capstone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Hand off with confidence. Small + done beats big + half-built. Point to the brief. Data-bringers start now.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0:55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5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11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Capstone rubric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Four criteria: repeats, good AI use, documented, understood. "Showing where you corrected the AI is a feature." How to submit.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1:00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12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Course takeaways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Zoom out to the whole course. Pause on each line. Celebrate the arc: by-hand → built-it-yourself.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1:04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13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Assignment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Finish + ship the capstone; post to Slack with one reflective sentence.</w:t>
            </w:r>
          </w:p>
        </w:tc>
      </w:tr>
      <w:tr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1:08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22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14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Closing + Q&amp;A / work time</w:t>
            </w:r>
          </w:p>
        </w:tc>
        <w:tc>
          <w:tcPr>
            <w:tcW w:type="dxa" w:w="1930"/>
          </w:tcPr>
          <w:p>
            <w:r/>
            <w:r>
              <w:rPr>
                <w:rFonts w:ascii="Calibri" w:hAnsi="Calibri"/>
                <w:color w:val="101110"/>
                <w:sz w:val="20"/>
              </w:rPr>
              <w:t>Optional: open work time — learners start their capstone live while you float in chat/breakouts.</w:t>
            </w:r>
          </w:p>
        </w:tc>
      </w:tr>
    </w:tbl>
    <w:p>
      <w:pPr>
        <w:spacing w:after="80"/>
      </w:pPr>
    </w:p>
    <w:p>
      <w:pPr>
        <w:spacing w:after="120"/>
      </w:pPr>
      <w:r>
        <w:rPr>
          <w:rFonts w:ascii="Calibri" w:hAnsi="Calibri"/>
          <w:b/>
          <w:color w:val="101110"/>
          <w:sz w:val="22"/>
        </w:rPr>
        <w:t>Total core teaching: ~68 min. Built-in Q&amp;A/work-time/buffer: ~22 min.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Make the last 20 minutes count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This is the best capstone-completion lever you have. Options for slide 14 time: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Live work time:</w:t>
      </w:r>
      <w:r>
        <w:rPr>
          <w:rFonts w:ascii="Calibri" w:hAnsi="Calibri"/>
          <w:color w:val="101110"/>
          <w:sz w:val="22"/>
        </w:rPr>
        <w:t xml:space="preserve"> learners open their own data and start the four boxes while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you answer questions in chat or breakout rooms. Many will finish far more than they would alone later.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Walk a volunteer's data:</w:t>
      </w:r>
      <w:r>
        <w:rPr>
          <w:rFonts w:ascii="Calibri" w:hAnsi="Calibri"/>
          <w:color w:val="101110"/>
          <w:sz w:val="22"/>
        </w:rPr>
        <w:t xml:space="preserve"> if someone shares a sample, build the first two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boxes on it live — nothing motivates like seeing their own report refresh.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If you're running behind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Cut first:</w:t>
      </w:r>
      <w:r>
        <w:rPr>
          <w:rFonts w:ascii="Calibri" w:hAnsi="Calibri"/>
          <w:color w:val="101110"/>
          <w:sz w:val="22"/>
        </w:rPr>
        <w:t xml:space="preserve"> slide 7 (payoff stats) to 1 minute; trim slide 9 to the two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failure modes they'll actually hit (schema drift, locale dates).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Protect at all costs:</w:t>
      </w:r>
      <w:r>
        <w:rPr>
          <w:rFonts w:ascii="Calibri" w:hAnsi="Calibri"/>
          <w:color w:val="101110"/>
          <w:sz w:val="22"/>
        </w:rPr>
        <w:t xml:space="preserve"> the live build through the </w:t>
      </w:r>
      <w:r>
        <w:rPr>
          <w:rFonts w:ascii="Calibri" w:hAnsi="Calibri"/>
          <w:b/>
          <w:color w:val="101110"/>
          <w:sz w:val="22"/>
        </w:rPr>
        <w:t>Refresh</w:t>
      </w:r>
      <w:r>
        <w:rPr>
          <w:rFonts w:ascii="Calibri" w:hAnsi="Calibri"/>
          <w:color w:val="101110"/>
          <w:sz w:val="22"/>
        </w:rPr>
        <w:t xml:space="preserve"> (slide 6) and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the capstone hand-off (slides 10–11). The Refresh is the emotional payoff of the entire course — never skip it.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Demo cue card (slide 6)</w:t>
      </w:r>
    </w:p>
    <w:p>
      <w:pPr>
        <w:pStyle w:val="ListNumber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Get Data ▸ From File ▸ From Folder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onsolas" w:hAnsi="Consolas"/>
          <w:color w:val="333333"/>
          <w:sz w:val="22"/>
        </w:rPr>
        <w:t>monthly-expenses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alibri" w:hAnsi="Calibri"/>
          <w:b/>
          <w:color w:val="101110"/>
          <w:sz w:val="22"/>
        </w:rPr>
        <w:t>Combine &amp; Transform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Clean: </w:t>
      </w:r>
      <w:r>
        <w:rPr>
          <w:rFonts w:ascii="Consolas" w:hAnsi="Consolas"/>
          <w:color w:val="333333"/>
          <w:sz w:val="22"/>
        </w:rPr>
        <w:t>Trim</w:t>
      </w:r>
      <w:r>
        <w:rPr>
          <w:rFonts w:ascii="Calibri" w:hAnsi="Calibri"/>
          <w:color w:val="101110"/>
          <w:sz w:val="22"/>
        </w:rPr>
        <w:t>/</w:t>
      </w:r>
      <w:r>
        <w:rPr>
          <w:rFonts w:ascii="Consolas" w:hAnsi="Consolas"/>
          <w:color w:val="333333"/>
          <w:sz w:val="22"/>
        </w:rPr>
        <w:t>Proper</w:t>
      </w:r>
      <w:r>
        <w:rPr>
          <w:rFonts w:ascii="Calibri" w:hAnsi="Calibri"/>
          <w:color w:val="101110"/>
          <w:sz w:val="22"/>
        </w:rPr>
        <w:t xml:space="preserve"> Vendor; strip </w:t>
      </w:r>
      <w:r>
        <w:rPr>
          <w:rFonts w:ascii="Consolas" w:hAnsi="Consolas"/>
          <w:color w:val="333333"/>
          <w:sz w:val="22"/>
        </w:rPr>
        <w:t>$</w:t>
      </w:r>
      <w:r>
        <w:rPr>
          <w:rFonts w:ascii="Calibri" w:hAnsi="Calibri"/>
          <w:color w:val="101110"/>
          <w:sz w:val="22"/>
        </w:rPr>
        <w:t>/</w:t>
      </w:r>
      <w:r>
        <w:rPr>
          <w:rFonts w:ascii="Consolas" w:hAnsi="Consolas"/>
          <w:color w:val="333333"/>
          <w:sz w:val="22"/>
        </w:rPr>
        <w:t>,</w:t>
      </w:r>
      <w:r>
        <w:rPr>
          <w:rFonts w:ascii="Calibri" w:hAnsi="Calibri"/>
          <w:color w:val="101110"/>
          <w:sz w:val="22"/>
        </w:rPr>
        <w:t xml:space="preserve"> from Amount; set Date + Amount types.</w:t>
      </w:r>
    </w:p>
    <w:p>
      <w:pPr>
        <w:pStyle w:val="ListNumber"/>
        <w:spacing w:after="40"/>
        <w:ind w:left="432" w:hanging="259"/>
      </w:pPr>
      <w:r>
        <w:rPr>
          <w:rFonts w:ascii="Consolas" w:hAnsi="Consolas"/>
          <w:color w:val="333333"/>
          <w:sz w:val="22"/>
        </w:rPr>
        <w:t>Merge Queries</w:t>
      </w:r>
      <w:r>
        <w:rPr>
          <w:rFonts w:ascii="Calibri" w:hAnsi="Calibri"/>
          <w:color w:val="101110"/>
          <w:sz w:val="22"/>
        </w:rPr>
        <w:t xml:space="preserve"> → </w:t>
      </w:r>
      <w:r>
        <w:rPr>
          <w:rFonts w:ascii="Consolas" w:hAnsi="Consolas"/>
          <w:color w:val="333333"/>
          <w:sz w:val="22"/>
        </w:rPr>
        <w:t>VendorMaster</w:t>
      </w:r>
      <w:r>
        <w:rPr>
          <w:rFonts w:ascii="Calibri" w:hAnsi="Calibri"/>
          <w:color w:val="101110"/>
          <w:sz w:val="22"/>
        </w:rPr>
        <w:t xml:space="preserve"> on </w:t>
      </w:r>
      <w:r>
        <w:rPr>
          <w:rFonts w:ascii="Calibri" w:hAnsi="Calibri"/>
          <w:b/>
          <w:color w:val="101110"/>
          <w:sz w:val="22"/>
        </w:rPr>
        <w:t>Vendor Name</w:t>
      </w:r>
      <w:r>
        <w:rPr>
          <w:rFonts w:ascii="Calibri" w:hAnsi="Calibri"/>
          <w:color w:val="101110"/>
          <w:sz w:val="22"/>
        </w:rPr>
        <w:t xml:space="preserve"> → expand Spend Category.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Note any blank category = unmatched vendor (free QC).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color w:val="101110"/>
          <w:sz w:val="22"/>
        </w:rPr>
        <w:t xml:space="preserve">Summarize: PivotTable (Category × Month) </w:t>
      </w:r>
      <w:r>
        <w:rPr>
          <w:rFonts w:ascii="Calibri" w:hAnsi="Calibri"/>
          <w:b/>
          <w:color w:val="101110"/>
          <w:sz w:val="22"/>
        </w:rPr>
        <w:t>or</w:t>
      </w:r>
      <w:r>
        <w:rPr>
          <w:rFonts w:ascii="Calibri" w:hAnsi="Calibri"/>
          <w:color w:val="101110"/>
          <w:sz w:val="22"/>
        </w:rPr>
        <w:t xml:space="preserve"> Python </w:t>
      </w:r>
      <w:r>
        <w:rPr>
          <w:rFonts w:ascii="Consolas" w:hAnsi="Consolas"/>
          <w:color w:val="333333"/>
          <w:sz w:val="22"/>
        </w:rPr>
        <w:t>pivot_table</w:t>
      </w:r>
      <w:r>
        <w:rPr>
          <w:rFonts w:ascii="Calibri" w:hAnsi="Calibri"/>
          <w:color w:val="101110"/>
          <w:sz w:val="22"/>
        </w:rPr>
        <w:t>.</w:t>
      </w:r>
    </w:p>
    <w:p>
      <w:pPr>
        <w:pStyle w:val="ListNumber"/>
        <w:spacing w:after="40"/>
        <w:ind w:left="432" w:hanging="259"/>
      </w:pPr>
      <w:r>
        <w:rPr>
          <w:rFonts w:ascii="Calibri" w:hAnsi="Calibri"/>
          <w:b/>
          <w:color w:val="101110"/>
          <w:sz w:val="22"/>
        </w:rPr>
        <w:t>The moment:</w:t>
      </w:r>
      <w:r>
        <w:rPr>
          <w:rFonts w:ascii="Calibri" w:hAnsi="Calibri"/>
          <w:color w:val="101110"/>
          <w:sz w:val="22"/>
        </w:rPr>
        <w:t xml:space="preserve"> drop a 4th CSV in the folder → </w:t>
      </w:r>
      <w:r>
        <w:rPr>
          <w:rFonts w:ascii="Consolas" w:hAnsi="Consolas"/>
          <w:color w:val="333333"/>
          <w:sz w:val="22"/>
        </w:rPr>
        <w:t>Data ▸ Refresh All</w:t>
      </w:r>
      <w:r>
        <w:rPr>
          <w:rFonts w:ascii="Calibri" w:hAnsi="Calibri"/>
          <w:color w:val="101110"/>
          <w:sz w:val="22"/>
        </w:rPr>
        <w:t xml:space="preserve"> → it updates.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 xml:space="preserve">Safety net: every step + the M and Python are in </w:t>
      </w:r>
      <w:r>
        <w:rPr>
          <w:rFonts w:ascii="Consolas" w:hAnsi="Consolas"/>
          <w:color w:val="333333"/>
          <w:sz w:val="22"/>
        </w:rPr>
        <w:t>solutions/session-3-workflow-solution.md</w:t>
      </w:r>
      <w:r>
        <w:rPr>
          <w:rFonts w:ascii="Calibri" w:hAnsi="Calibri"/>
          <w:color w:val="101110"/>
          <w:sz w:val="22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101110"/>
          <w:sz w:val="30"/>
        </w:rPr>
        <w:t>Common questions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i/>
          <w:color w:val="101110"/>
          <w:sz w:val="22"/>
        </w:rPr>
        <w:t>"My capstone data is sensitive."</w:t>
      </w:r>
      <w:r>
        <w:rPr>
          <w:rFonts w:ascii="Calibri" w:hAnsi="Calibri"/>
          <w:color w:val="101110"/>
          <w:sz w:val="22"/>
        </w:rPr>
        <w:t xml:space="preserve"> Anonymize a small sample; the workflow is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identical. Never paste regulated data into a public AI tool.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i/>
          <w:color w:val="101110"/>
          <w:sz w:val="22"/>
        </w:rPr>
        <w:t>"What if my data is one file, not a folder?"</w:t>
      </w:r>
      <w:r>
        <w:rPr>
          <w:rFonts w:ascii="Calibri" w:hAnsi="Calibri"/>
          <w:color w:val="101110"/>
          <w:sz w:val="22"/>
        </w:rPr>
        <w:t xml:space="preserve"> Perfect — connect to the file and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clean it; the folder step is optional. The four boxes still apply.</w:t>
      </w:r>
    </w:p>
    <w:p>
      <w:pPr>
        <w:pStyle w:val="ListBullet"/>
        <w:spacing w:after="40"/>
        <w:ind w:left="432" w:hanging="259"/>
      </w:pPr>
      <w:r>
        <w:rPr>
          <w:rFonts w:ascii="Calibri" w:hAnsi="Calibri"/>
          <w:i/>
          <w:color w:val="101110"/>
          <w:sz w:val="22"/>
        </w:rPr>
        <w:t>"How polished does the capstone need to be?"</w:t>
      </w:r>
      <w:r>
        <w:rPr>
          <w:rFonts w:ascii="Calibri" w:hAnsi="Calibri"/>
          <w:color w:val="101110"/>
          <w:sz w:val="22"/>
        </w:rPr>
        <w:t xml:space="preserve"> It needs to repeat, be</w:t>
      </w:r>
    </w:p>
    <w:p>
      <w:pPr>
        <w:spacing w:after="120"/>
      </w:pPr>
      <w:r>
        <w:rPr>
          <w:rFonts w:ascii="Calibri" w:hAnsi="Calibri"/>
          <w:color w:val="101110"/>
          <w:sz w:val="22"/>
        </w:rPr>
        <w:t>documented, and be understood. Scope small and finish.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B6F6B"/>
        <w:sz w:val="16"/>
      </w:rPr>
      <w:t>AI for Excel  ·  GenAI Works Academy  ·  Support@academy.genai.works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0111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