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none"/>
          <w:left w:val="none"/>
          <w:bottom w:val="single" w:color="B5791F" w:sz="16"/>
          <w:right w:val="none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1B2A4A" w:val="clear"/>
            <w:tcMar>
              <w:top w:type="dxa" w:w="220"/>
              <w:left w:type="dxa" w:w="240"/>
              <w:bottom w:type="dxa" w:w="220"/>
              <w:right w:type="dxa" w:w="24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8FB6C9"/>
                <w:spacing w:val="30"/>
                <w:sz w:val="18"/>
                <w:szCs w:val="18"/>
              </w:rPr>
              <w:t xml:space="preserve">CLAUDE + MICROSOFT 365 FOR EVERYDAY PRODUCTIVITY</w:t>
            </w:r>
          </w:p>
          <w:p>
            <w:pPr>
              <w:spacing w:after="60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40"/>
                <w:szCs w:val="40"/>
              </w:rPr>
              <w:t xml:space="preserve">Download &amp; Licensing Guide</w:t>
            </w:r>
          </w:p>
          <w:p>
            <w:r>
              <w:rPr>
                <w:rFonts w:ascii="Calibri" w:cs="Calibri" w:eastAsia="Calibri" w:hAnsi="Calibri"/>
                <w:i/>
                <w:iCs/>
                <w:color w:val="CFD8E6"/>
                <w:sz w:val="22"/>
                <w:szCs w:val="22"/>
              </w:rPr>
              <w:t xml:space="preserve">How to get Claude, which plan to choose, and how to use it responsibly with work information.</w:t>
            </w:r>
          </w:p>
        </w:tc>
      </w:tr>
    </w:tbl>
    <w:p>
      <w:pPr>
        <w:spacing w:after="200"/>
      </w:pPr>
    </w:p>
    <w:p>
      <w:pPr>
        <w:spacing w:after="120" w:line="276"/>
      </w:pPr>
      <w:r>
        <w:rPr>
          <w:rFonts w:ascii="Calibri" w:cs="Calibri" w:eastAsia="Calibri" w:hAnsi="Calibri"/>
          <w:color w:val="222B38"/>
          <w:sz w:val="22"/>
          <w:szCs w:val="22"/>
        </w:rPr>
        <w:t xml:space="preserve">This guide is a companion to the webinar. It covers how to get started, what the plans cost, and the privacy basics you need before putting work content into any AI tool. </w:t>
      </w:r>
      <w:r>
        <w:rPr>
          <w:rFonts w:ascii="Calibri" w:cs="Calibri" w:eastAsia="Calibri" w:hAnsi="Calibri"/>
          <w:i/>
          <w:iCs/>
          <w:color w:val="3C4A63"/>
          <w:sz w:val="22"/>
          <w:szCs w:val="22"/>
        </w:rPr>
        <w:t xml:space="preserve">Pricing and policies change — confirm current details at the official links before you rely on them.</w:t>
      </w:r>
    </w:p>
    <w:p>
      <w:pPr>
        <w:pStyle w:val="Heading1"/>
      </w:pPr>
      <w:r>
        <w:t xml:space="preserve">1. Getting Claude (about 2 minutes)</w:t>
      </w:r>
    </w:p>
    <w:p>
      <w:pPr>
        <w:pStyle w:val="ListParagraph"/>
        <w:numPr>
          <w:ilvl w:val="0"/>
          <w:numId w:val="2"/>
        </w:numPr>
        <w:spacing w:after="90" w:line="272"/>
      </w:pPr>
      <w:r>
        <w:rPr>
          <w:rFonts w:ascii="Calibri" w:cs="Calibri" w:eastAsia="Calibri" w:hAnsi="Calibri"/>
          <w:b/>
          <w:bCs/>
          <w:color w:val="222B38"/>
          <w:sz w:val="22"/>
          <w:szCs w:val="22"/>
        </w:rPr>
        <w:t xml:space="preserve">Open the web app. </w:t>
      </w:r>
      <w:r>
        <w:rPr>
          <w:rFonts w:ascii="Calibri" w:cs="Calibri" w:eastAsia="Calibri" w:hAnsi="Calibri"/>
          <w:color w:val="222B38"/>
          <w:sz w:val="22"/>
          <w:szCs w:val="22"/>
        </w:rPr>
        <w:t xml:space="preserve">Go to </w:t>
      </w:r>
      <w:hyperlink w:history="1" r:id="rIdhch1whzeygsdcy3kvwrvn">
        <w:r>
          <w:rPr>
            <w:rStyle w:val="Hyperlink"/>
            <w:rFonts w:ascii="Calibri" w:cs="Calibri" w:eastAsia="Calibri" w:hAnsi="Calibri"/>
            <w:sz w:val="22"/>
            <w:szCs w:val="22"/>
          </w:rPr>
          <w:t xml:space="preserve">claude.ai</w:t>
        </w:r>
      </w:hyperlink>
      <w:r>
        <w:rPr>
          <w:rFonts w:ascii="Calibri" w:cs="Calibri" w:eastAsia="Calibri" w:hAnsi="Calibri"/>
          <w:color w:val="222B38"/>
          <w:sz w:val="22"/>
          <w:szCs w:val="22"/>
        </w:rPr>
        <w:t xml:space="preserve"> in any modern browser. Nothing to install.</w:t>
      </w:r>
    </w:p>
    <w:p>
      <w:pPr>
        <w:pStyle w:val="ListParagraph"/>
        <w:numPr>
          <w:ilvl w:val="0"/>
          <w:numId w:val="2"/>
        </w:numPr>
        <w:spacing w:after="90" w:line="272"/>
      </w:pPr>
      <w:r>
        <w:rPr>
          <w:rFonts w:ascii="Calibri" w:cs="Calibri" w:eastAsia="Calibri" w:hAnsi="Calibri"/>
          <w:b/>
          <w:bCs/>
          <w:color w:val="222B38"/>
          <w:sz w:val="22"/>
          <w:szCs w:val="22"/>
        </w:rPr>
        <w:t xml:space="preserve">Create a free account. </w:t>
      </w:r>
      <w:r>
        <w:rPr>
          <w:rFonts w:ascii="Calibri" w:cs="Calibri" w:eastAsia="Calibri" w:hAnsi="Calibri"/>
          <w:color w:val="222B38"/>
          <w:sz w:val="22"/>
          <w:szCs w:val="22"/>
        </w:rPr>
        <w:t xml:space="preserve">Sign up with an email address or a Google account. No credit card required for the Free plan.</w:t>
      </w:r>
    </w:p>
    <w:p>
      <w:pPr>
        <w:pStyle w:val="ListParagraph"/>
        <w:numPr>
          <w:ilvl w:val="0"/>
          <w:numId w:val="2"/>
        </w:numPr>
        <w:spacing w:after="90" w:line="272"/>
      </w:pPr>
      <w:r>
        <w:rPr>
          <w:rFonts w:ascii="Calibri" w:cs="Calibri" w:eastAsia="Calibri" w:hAnsi="Calibri"/>
          <w:b/>
          <w:bCs/>
          <w:color w:val="222B38"/>
          <w:sz w:val="22"/>
          <w:szCs w:val="22"/>
        </w:rPr>
        <w:t xml:space="preserve">Optional apps. </w:t>
      </w:r>
      <w:r>
        <w:rPr>
          <w:rFonts w:ascii="Calibri" w:cs="Calibri" w:eastAsia="Calibri" w:hAnsi="Calibri"/>
          <w:color w:val="222B38"/>
          <w:sz w:val="22"/>
          <w:szCs w:val="22"/>
        </w:rPr>
        <w:t xml:space="preserve">There are free desktop apps (Windows and Mac) and mobile apps (iOS and Android) if you prefer them to the browser.</w:t>
      </w:r>
    </w:p>
    <w:p>
      <w:pPr>
        <w:pStyle w:val="ListParagraph"/>
        <w:numPr>
          <w:ilvl w:val="0"/>
          <w:numId w:val="2"/>
        </w:numPr>
        <w:spacing w:after="90" w:line="272"/>
      </w:pPr>
      <w:r>
        <w:rPr>
          <w:rFonts w:ascii="Calibri" w:cs="Calibri" w:eastAsia="Calibri" w:hAnsi="Calibri"/>
          <w:b/>
          <w:bCs/>
          <w:color w:val="222B38"/>
          <w:sz w:val="22"/>
          <w:szCs w:val="22"/>
        </w:rPr>
        <w:t xml:space="preserve">Start a chat. </w:t>
      </w:r>
      <w:r>
        <w:rPr>
          <w:rFonts w:ascii="Calibri" w:cs="Calibri" w:eastAsia="Calibri" w:hAnsi="Calibri"/>
          <w:color w:val="222B38"/>
          <w:sz w:val="22"/>
          <w:szCs w:val="22"/>
        </w:rPr>
        <w:t xml:space="preserve">Type a question or paste your text into the message box. You can also drag in a Word doc, PDF, spreadsheet, or image and ask about it.</w:t>
      </w:r>
    </w:p>
    <w:tbl>
      <w:tblPr>
        <w:tblW w:type="dxa" w:w="9360"/>
        <w:tblBorders>
          <w:top w:val="single" w:color="F0F4F8" w:sz="2"/>
          <w:left w:val="single" w:color="2C8C8C" w:sz="24"/>
          <w:bottom w:val="single" w:color="F0F4F8" w:sz="2"/>
          <w:right w:val="single" w:color="F0F4F8" w:sz="2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0F4F8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B2A4A"/>
                <w:sz w:val="22"/>
                <w:szCs w:val="22"/>
              </w:rPr>
              <w:t xml:space="preserve">Work vs. personal account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222B38"/>
                <w:sz w:val="22"/>
                <w:szCs w:val="22"/>
              </w:rPr>
              <w:t xml:space="preserve">If your organization has rolled out Claude (a Team or Enterprise plan), sign in with your </w:t>
            </w:r>
            <w:r>
              <w:rPr>
                <w:rFonts w:ascii="Calibri" w:cs="Calibri" w:eastAsia="Calibri" w:hAnsi="Calibri"/>
                <w:b/>
                <w:bCs/>
                <w:color w:val="222B38"/>
                <w:sz w:val="22"/>
                <w:szCs w:val="22"/>
              </w:rPr>
              <w:t xml:space="preserve">work account</w:t>
            </w:r>
            <w:r>
              <w:rPr>
                <w:rFonts w:ascii="Calibri" w:cs="Calibri" w:eastAsia="Calibri" w:hAnsi="Calibri"/>
                <w:color w:val="222B38"/>
                <w:sz w:val="22"/>
                <w:szCs w:val="22"/>
              </w:rPr>
              <w:t xml:space="preserve"> rather than a personal one. Business accounts have stronger data protections (see Section 4) and may include the Microsoft 365 connector. If you are unsure whether your company has a plan, ask your IT team before signing up personally with work content.</w:t>
            </w:r>
          </w:p>
        </w:tc>
      </w:tr>
    </w:tbl>
    <w:p>
      <w:pPr>
        <w:pStyle w:val="Heading1"/>
      </w:pPr>
      <w:r>
        <w:t xml:space="preserve">2. Choosing a plan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color w:val="222B38"/>
          <w:sz w:val="22"/>
          <w:szCs w:val="22"/>
        </w:rPr>
        <w:t xml:space="preserve">The Free plan is enough to do everything shown in the webinar.</w:t>
      </w:r>
      <w:r>
        <w:rPr>
          <w:rFonts w:ascii="Calibri" w:cs="Calibri" w:eastAsia="Calibri" w:hAnsi="Calibri"/>
          <w:color w:val="222B38"/>
          <w:sz w:val="22"/>
          <w:szCs w:val="22"/>
        </w:rPr>
        <w:t xml:space="preserve"> Upgrade only when you find yourself hitting usage limits or working with very long documents. Figures below are approximate and were current as of mid-2026 — check the pricing page for today's numbers.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1700"/>
        <w:gridCol w:w="5960"/>
      </w:tblGrid>
      <w:tr>
        <w:trPr>
          <w:tblHeader/>
        </w:trPr>
        <w:tc>
          <w:tcPr>
            <w:tcW w:type="dxa" w:w="17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Plan</w:t>
            </w:r>
          </w:p>
        </w:tc>
        <w:tc>
          <w:tcPr>
            <w:tcW w:type="dxa" w:w="17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Rough price</w:t>
            </w:r>
          </w:p>
        </w:tc>
        <w:tc>
          <w:tcPr>
            <w:tcW w:type="dxa" w:w="59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Who it's for / what you get</w:t>
            </w:r>
          </w:p>
        </w:tc>
      </w:tr>
      <w:tr>
        <w:tc>
          <w:tcPr>
            <w:tcW w:type="dxa" w:w="17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22B38"/>
                <w:sz w:val="21"/>
                <w:szCs w:val="21"/>
              </w:rPr>
              <w:t xml:space="preserve">Free</w:t>
            </w:r>
          </w:p>
        </w:tc>
        <w:tc>
          <w:tcPr>
            <w:tcW w:type="dxa" w:w="17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22B38"/>
                <w:sz w:val="21"/>
                <w:szCs w:val="21"/>
              </w:rPr>
              <w:t xml:space="preserve">$0</w:t>
            </w:r>
          </w:p>
        </w:tc>
        <w:tc>
          <w:tcPr>
            <w:tcW w:type="dxa" w:w="59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22B38"/>
                <w:sz w:val="22"/>
                <w:szCs w:val="22"/>
              </w:rPr>
              <w:t xml:space="preserve">Web, desktop and mobile access; chat, file uploads and web search. Usage limits reset on a rolling few-hour window. Great for trying everything in this session.</w:t>
            </w:r>
          </w:p>
        </w:tc>
      </w:tr>
      <w:tr>
        <w:tc>
          <w:tcPr>
            <w:tcW w:type="dxa" w:w="17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22B38"/>
                <w:sz w:val="21"/>
                <w:szCs w:val="21"/>
              </w:rPr>
              <w:t xml:space="preserve">Pro</w:t>
            </w:r>
          </w:p>
        </w:tc>
        <w:tc>
          <w:tcPr>
            <w:tcW w:type="dxa" w:w="17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22B38"/>
                <w:sz w:val="21"/>
                <w:szCs w:val="21"/>
              </w:rPr>
              <w:t xml:space="preserve">~$20/mo</w:t>
            </w:r>
          </w:p>
        </w:tc>
        <w:tc>
          <w:tcPr>
            <w:tcW w:type="dxa" w:w="59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22B38"/>
                <w:sz w:val="22"/>
                <w:szCs w:val="22"/>
              </w:rPr>
              <w:t xml:space="preserve">For individuals who use it heavily every day: substantially higher usage limits, room for longer documents, and access to the most capable models. Often cheaper billed annually.</w:t>
            </w:r>
          </w:p>
        </w:tc>
      </w:tr>
      <w:tr>
        <w:tc>
          <w:tcPr>
            <w:tcW w:type="dxa" w:w="17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22B38"/>
                <w:sz w:val="21"/>
                <w:szCs w:val="21"/>
              </w:rPr>
              <w:t xml:space="preserve">Max</w:t>
            </w:r>
          </w:p>
        </w:tc>
        <w:tc>
          <w:tcPr>
            <w:tcW w:type="dxa" w:w="17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22B38"/>
                <w:sz w:val="21"/>
                <w:szCs w:val="21"/>
              </w:rPr>
              <w:t xml:space="preserve">~$100–$200/mo</w:t>
            </w:r>
          </w:p>
        </w:tc>
        <w:tc>
          <w:tcPr>
            <w:tcW w:type="dxa" w:w="59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22B38"/>
                <w:sz w:val="22"/>
                <w:szCs w:val="22"/>
              </w:rPr>
              <w:t xml:space="preserve">For power users who hit Pro's limits: several multiples of Pro's usage. Usually overkill for typical office tasks.</w:t>
            </w:r>
          </w:p>
        </w:tc>
      </w:tr>
      <w:tr>
        <w:tc>
          <w:tcPr>
            <w:tcW w:type="dxa" w:w="17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22B38"/>
                <w:sz w:val="21"/>
                <w:szCs w:val="21"/>
              </w:rPr>
              <w:t xml:space="preserve">Team</w:t>
            </w:r>
          </w:p>
        </w:tc>
        <w:tc>
          <w:tcPr>
            <w:tcW w:type="dxa" w:w="17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22B38"/>
                <w:sz w:val="21"/>
                <w:szCs w:val="21"/>
              </w:rPr>
              <w:t xml:space="preserve">~$25–$30/seat/mo</w:t>
            </w:r>
          </w:p>
        </w:tc>
        <w:tc>
          <w:tcPr>
            <w:tcW w:type="dxa" w:w="59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22B38"/>
                <w:sz w:val="22"/>
                <w:szCs w:val="22"/>
              </w:rPr>
              <w:t xml:space="preserve">For organizations (small minimum seat count): central billing, admin controls, single sign-on, and the official Microsoft 365 connector. Business data is not used to train models.</w:t>
            </w:r>
          </w:p>
        </w:tc>
      </w:tr>
      <w:tr>
        <w:tc>
          <w:tcPr>
            <w:tcW w:type="dxa" w:w="17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22B38"/>
                <w:sz w:val="21"/>
                <w:szCs w:val="21"/>
              </w:rPr>
              <w:t xml:space="preserve">Enterprise</w:t>
            </w:r>
          </w:p>
        </w:tc>
        <w:tc>
          <w:tcPr>
            <w:tcW w:type="dxa" w:w="17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22B38"/>
                <w:sz w:val="21"/>
                <w:szCs w:val="21"/>
              </w:rPr>
              <w:t xml:space="preserve">Custom</w:t>
            </w:r>
          </w:p>
        </w:tc>
        <w:tc>
          <w:tcPr>
            <w:tcW w:type="dxa" w:w="59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22B38"/>
                <w:sz w:val="22"/>
                <w:szCs w:val="22"/>
              </w:rPr>
              <w:t xml:space="preserve">For larger organizations: expanded context, advanced security/compliance options, SSO, and dedicated support. Contact sales for pricing.</w:t>
            </w:r>
          </w:p>
        </w:tc>
      </w:tr>
    </w:tbl>
    <w:p>
      <w:pPr>
        <w:spacing w:after="60"/>
      </w:pPr>
    </w:p>
    <w:p>
      <w:pPr>
        <w:spacing w:after="120" w:line="276"/>
      </w:pPr>
      <w:r>
        <w:rPr>
          <w:rFonts w:ascii="Calibri" w:cs="Calibri" w:eastAsia="Calibri" w:hAnsi="Calibri"/>
          <w:b/>
          <w:bCs/>
          <w:color w:val="1B2A4A"/>
          <w:sz w:val="22"/>
          <w:szCs w:val="22"/>
        </w:rPr>
        <w:t xml:space="preserve">Bottom line: </w:t>
      </w:r>
      <w:r>
        <w:rPr>
          <w:rFonts w:ascii="Calibri" w:cs="Calibri" w:eastAsia="Calibri" w:hAnsi="Calibri"/>
          <w:color w:val="222B38"/>
          <w:sz w:val="22"/>
          <w:szCs w:val="22"/>
        </w:rPr>
        <w:t xml:space="preserve">start Free. Move to Pro if it becomes a daily tool. Leave Team/Enterprise to your organization.</w:t>
      </w:r>
    </w:p>
    <w:p>
      <w:r>
        <w:br w:type="page"/>
      </w:r>
    </w:p>
    <w:p>
      <w:pPr>
        <w:pStyle w:val="Heading1"/>
      </w:pPr>
      <w:r>
        <w:t xml:space="preserve">3. What Claude can and can't do in this workflow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It's great at</w:t>
            </w:r>
          </w:p>
        </w:tc>
        <w:tc>
          <w:tcPr>
            <w:tcW w:type="dxa" w:w="468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Be careful with</w:t>
            </w:r>
          </w:p>
        </w:tc>
      </w:tr>
      <w:tr>
        <w:tc>
          <w:tcPr>
            <w:tcW w:type="dxa" w:w="468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A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3"/>
              </w:numPr>
              <w:spacing w:after="80" w:line="268"/>
            </w:pPr>
            <w:r>
              <w:rPr>
                <w:rFonts w:ascii="Calibri" w:cs="Calibri" w:eastAsia="Calibri" w:hAnsi="Calibri"/>
                <w:color w:val="222B38"/>
                <w:sz w:val="22"/>
                <w:szCs w:val="22"/>
              </w:rPr>
              <w:t xml:space="preserve">Drafting, rewriting and summarizing text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80" w:line="268"/>
            </w:pPr>
            <w:r>
              <w:rPr>
                <w:rFonts w:ascii="Calibri" w:cs="Calibri" w:eastAsia="Calibri" w:hAnsi="Calibri"/>
                <w:color w:val="222B38"/>
                <w:sz w:val="22"/>
                <w:szCs w:val="22"/>
              </w:rPr>
              <w:t xml:space="preserve">Reformatting and restructuring content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80" w:line="268"/>
            </w:pPr>
            <w:r>
              <w:rPr>
                <w:rFonts w:ascii="Calibri" w:cs="Calibri" w:eastAsia="Calibri" w:hAnsi="Calibri"/>
                <w:color w:val="222B38"/>
                <w:sz w:val="22"/>
                <w:szCs w:val="22"/>
              </w:rPr>
              <w:t xml:space="preserve">Adjusting tone and length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80" w:line="268"/>
            </w:pPr>
            <w:r>
              <w:rPr>
                <w:rFonts w:ascii="Calibri" w:cs="Calibri" w:eastAsia="Calibri" w:hAnsi="Calibri"/>
                <w:color w:val="222B38"/>
                <w:sz w:val="22"/>
                <w:szCs w:val="22"/>
              </w:rPr>
              <w:t xml:space="preserve">Writing and explaining Excel formulas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80" w:line="268"/>
            </w:pPr>
            <w:r>
              <w:rPr>
                <w:rFonts w:ascii="Calibri" w:cs="Calibri" w:eastAsia="Calibri" w:hAnsi="Calibri"/>
                <w:color w:val="222B38"/>
                <w:sz w:val="22"/>
                <w:szCs w:val="22"/>
              </w:rPr>
              <w:t xml:space="preserve">Outlining slides and writing speaker notes</w:t>
            </w:r>
          </w:p>
        </w:tc>
        <w:tc>
          <w:tcPr>
            <w:tcW w:type="dxa" w:w="468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BF1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3"/>
              </w:numPr>
              <w:spacing w:after="80" w:line="268"/>
            </w:pPr>
            <w:r>
              <w:rPr>
                <w:rFonts w:ascii="Calibri" w:cs="Calibri" w:eastAsia="Calibri" w:hAnsi="Calibri"/>
                <w:color w:val="222B38"/>
                <w:sz w:val="22"/>
                <w:szCs w:val="22"/>
              </w:rPr>
              <w:t xml:space="preserve">Facts and figures — verify anything specific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80" w:line="268"/>
            </w:pPr>
            <w:r>
              <w:rPr>
                <w:rFonts w:ascii="Calibri" w:cs="Calibri" w:eastAsia="Calibri" w:hAnsi="Calibri"/>
                <w:color w:val="222B38"/>
                <w:sz w:val="22"/>
                <w:szCs w:val="22"/>
              </w:rPr>
              <w:t xml:space="preserve">Math on numbers it can't see (it works from your description)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80" w:line="268"/>
            </w:pPr>
            <w:r>
              <w:rPr>
                <w:rFonts w:ascii="Calibri" w:cs="Calibri" w:eastAsia="Calibri" w:hAnsi="Calibri"/>
                <w:color w:val="222B38"/>
                <w:sz w:val="22"/>
                <w:szCs w:val="22"/>
              </w:rPr>
              <w:t xml:space="preserve">Very recent events unless it searches the web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80" w:line="268"/>
            </w:pPr>
            <w:r>
              <w:rPr>
                <w:rFonts w:ascii="Calibri" w:cs="Calibri" w:eastAsia="Calibri" w:hAnsi="Calibri"/>
                <w:color w:val="222B38"/>
                <w:sz w:val="22"/>
                <w:szCs w:val="22"/>
              </w:rPr>
              <w:t xml:space="preserve">Anything it would have to guess — it may fill gaps with plausible but wrong detail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FBF1DD" w:sz="2"/>
          <w:left w:val="single" w:color="B5791F" w:sz="24"/>
          <w:bottom w:val="single" w:color="FBF1DD" w:sz="2"/>
          <w:right w:val="single" w:color="FBF1DD" w:sz="2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BF1DD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B2A4A"/>
                <w:sz w:val="22"/>
                <w:szCs w:val="22"/>
              </w:rPr>
              <w:t xml:space="preserve">The golden habit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222B38"/>
                <w:sz w:val="22"/>
                <w:szCs w:val="22"/>
              </w:rPr>
              <w:t xml:space="preserve">Claude produces a confident draft even when it is wrong. </w:t>
            </w:r>
            <w:r>
              <w:rPr>
                <w:rFonts w:ascii="Calibri" w:cs="Calibri" w:eastAsia="Calibri" w:hAnsi="Calibri"/>
                <w:b/>
                <w:bCs/>
                <w:color w:val="222B38"/>
                <w:sz w:val="22"/>
                <w:szCs w:val="22"/>
              </w:rPr>
              <w:t xml:space="preserve">Always read the output and verify anything that matters before you use it.</w:t>
            </w:r>
            <w:r>
              <w:rPr>
                <w:rFonts w:ascii="Calibri" w:cs="Calibri" w:eastAsia="Calibri" w:hAnsi="Calibri"/>
                <w:color w:val="222B38"/>
                <w:sz w:val="22"/>
                <w:szCs w:val="22"/>
              </w:rPr>
              <w:t xml:space="preserve"> You are the editor; Claude is the drafter.</w:t>
            </w:r>
          </w:p>
        </w:tc>
      </w:tr>
    </w:tbl>
    <w:p>
      <w:pPr>
        <w:pStyle w:val="Heading1"/>
      </w:pPr>
      <w:r>
        <w:t xml:space="preserve">4. Privacy &amp; responsible use</w:t>
      </w:r>
    </w:p>
    <w:p>
      <w:pPr>
        <w:pStyle w:val="Heading2"/>
      </w:pPr>
      <w:r>
        <w:t xml:space="preserve">Is my data used to train the models?</w:t>
      </w:r>
    </w:p>
    <w:p>
      <w:pPr>
        <w:pStyle w:val="ListParagraph"/>
        <w:numPr>
          <w:ilvl w:val="0"/>
          <w:numId w:val="3"/>
        </w:numPr>
        <w:spacing w:after="80" w:line="268"/>
      </w:pPr>
      <w:r>
        <w:rPr>
          <w:rFonts w:ascii="Calibri" w:cs="Calibri" w:eastAsia="Calibri" w:hAnsi="Calibri"/>
          <w:b/>
          <w:bCs/>
          <w:color w:val="222B38"/>
          <w:sz w:val="22"/>
          <w:szCs w:val="22"/>
        </w:rPr>
        <w:t xml:space="preserve">Free, Pro and Max (personal accounts): </w:t>
      </w:r>
      <w:r>
        <w:rPr>
          <w:rFonts w:ascii="Calibri" w:cs="Calibri" w:eastAsia="Calibri" w:hAnsi="Calibri"/>
          <w:color w:val="222B38"/>
          <w:sz w:val="22"/>
          <w:szCs w:val="22"/>
        </w:rPr>
        <w:t xml:space="preserve">whether your conversations can be used to improve the models is controlled by a setting you choose. Review your Privacy Settings and set it to your comfort level. Conversations may also be reviewed if they are flagged for safety.</w:t>
      </w:r>
    </w:p>
    <w:p>
      <w:pPr>
        <w:pStyle w:val="ListParagraph"/>
        <w:numPr>
          <w:ilvl w:val="0"/>
          <w:numId w:val="3"/>
        </w:numPr>
        <w:spacing w:after="80" w:line="268"/>
      </w:pPr>
      <w:r>
        <w:rPr>
          <w:rFonts w:ascii="Calibri" w:cs="Calibri" w:eastAsia="Calibri" w:hAnsi="Calibri"/>
          <w:b/>
          <w:bCs/>
          <w:color w:val="222B38"/>
          <w:sz w:val="22"/>
          <w:szCs w:val="22"/>
        </w:rPr>
        <w:t xml:space="preserve">Team, Enterprise and other business plans: </w:t>
      </w:r>
      <w:r>
        <w:rPr>
          <w:rFonts w:ascii="Calibri" w:cs="Calibri" w:eastAsia="Calibri" w:hAnsi="Calibri"/>
          <w:color w:val="222B38"/>
          <w:sz w:val="22"/>
          <w:szCs w:val="22"/>
        </w:rPr>
        <w:t xml:space="preserve">business data is not used to train the models. These plans also offer admin controls and longer data-handling options.</w:t>
      </w:r>
    </w:p>
    <w:p>
      <w:pPr>
        <w:spacing w:after="120" w:line="276"/>
      </w:pPr>
      <w:r>
        <w:rPr>
          <w:rFonts w:ascii="Calibri" w:cs="Calibri" w:eastAsia="Calibri" w:hAnsi="Calibri"/>
          <w:i/>
          <w:iCs/>
          <w:color w:val="3C4A63"/>
          <w:sz w:val="22"/>
          <w:szCs w:val="22"/>
        </w:rPr>
        <w:t xml:space="preserve">Because these policies change, confirm the current details in your account's Privacy Settings and at the official privacy pages linked in Section 6.</w:t>
      </w:r>
    </w:p>
    <w:p>
      <w:pPr>
        <w:pStyle w:val="Heading2"/>
      </w:pPr>
      <w:r>
        <w:t xml:space="preserve">What to share — and what to keep out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Generally fine</w:t>
            </w:r>
          </w:p>
        </w:tc>
        <w:tc>
          <w:tcPr>
            <w:tcW w:type="dxa" w:w="468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Keep out unless your org has approved it</w:t>
            </w:r>
          </w:p>
        </w:tc>
      </w:tr>
      <w:tr>
        <w:tc>
          <w:tcPr>
            <w:tcW w:type="dxa" w:w="468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A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3"/>
              </w:numPr>
              <w:spacing w:after="80" w:line="268"/>
            </w:pPr>
            <w:r>
              <w:rPr>
                <w:rFonts w:ascii="Calibri" w:cs="Calibri" w:eastAsia="Calibri" w:hAnsi="Calibri"/>
                <w:color w:val="222B38"/>
                <w:sz w:val="22"/>
                <w:szCs w:val="22"/>
              </w:rPr>
              <w:t xml:space="preserve">Public or already-shared material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80" w:line="268"/>
            </w:pPr>
            <w:r>
              <w:rPr>
                <w:rFonts w:ascii="Calibri" w:cs="Calibri" w:eastAsia="Calibri" w:hAnsi="Calibri"/>
                <w:color w:val="222B38"/>
                <w:sz w:val="22"/>
                <w:szCs w:val="22"/>
              </w:rPr>
              <w:t xml:space="preserve">General drafting and brainstorming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80" w:line="268"/>
            </w:pPr>
            <w:r>
              <w:rPr>
                <w:rFonts w:ascii="Calibri" w:cs="Calibri" w:eastAsia="Calibri" w:hAnsi="Calibri"/>
                <w:color w:val="222B38"/>
                <w:sz w:val="22"/>
                <w:szCs w:val="22"/>
              </w:rPr>
              <w:t xml:space="preserve">Made-up or anonymized example data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80" w:line="268"/>
            </w:pPr>
            <w:r>
              <w:rPr>
                <w:rFonts w:ascii="Calibri" w:cs="Calibri" w:eastAsia="Calibri" w:hAnsi="Calibri"/>
                <w:color w:val="222B38"/>
                <w:sz w:val="22"/>
                <w:szCs w:val="22"/>
              </w:rPr>
              <w:t xml:space="preserve">Your own rough notes and ideas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80" w:line="268"/>
            </w:pPr>
            <w:r>
              <w:rPr>
                <w:rFonts w:ascii="Calibri" w:cs="Calibri" w:eastAsia="Calibri" w:hAnsi="Calibri"/>
                <w:color w:val="222B38"/>
                <w:sz w:val="22"/>
                <w:szCs w:val="22"/>
              </w:rPr>
              <w:t xml:space="preserve">How-to and formula questions</w:t>
            </w:r>
          </w:p>
        </w:tc>
        <w:tc>
          <w:tcPr>
            <w:tcW w:type="dxa" w:w="468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BF1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3"/>
              </w:numPr>
              <w:spacing w:after="80" w:line="268"/>
            </w:pPr>
            <w:r>
              <w:rPr>
                <w:rFonts w:ascii="Calibri" w:cs="Calibri" w:eastAsia="Calibri" w:hAnsi="Calibri"/>
                <w:color w:val="222B38"/>
                <w:sz w:val="22"/>
                <w:szCs w:val="22"/>
              </w:rPr>
              <w:t xml:space="preserve">Personal data about customers, patients or employees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80" w:line="268"/>
            </w:pPr>
            <w:r>
              <w:rPr>
                <w:rFonts w:ascii="Calibri" w:cs="Calibri" w:eastAsia="Calibri" w:hAnsi="Calibri"/>
                <w:color w:val="222B38"/>
                <w:sz w:val="22"/>
                <w:szCs w:val="22"/>
              </w:rPr>
              <w:t xml:space="preserve">Passwords, keys, account numbers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80" w:line="268"/>
            </w:pPr>
            <w:r>
              <w:rPr>
                <w:rFonts w:ascii="Calibri" w:cs="Calibri" w:eastAsia="Calibri" w:hAnsi="Calibri"/>
                <w:color w:val="222B38"/>
                <w:sz w:val="22"/>
                <w:szCs w:val="22"/>
              </w:rPr>
              <w:t xml:space="preserve">Trade secrets and confidential contracts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80" w:line="268"/>
            </w:pPr>
            <w:r>
              <w:rPr>
                <w:rFonts w:ascii="Calibri" w:cs="Calibri" w:eastAsia="Calibri" w:hAnsi="Calibri"/>
                <w:color w:val="222B38"/>
                <w:sz w:val="22"/>
                <w:szCs w:val="22"/>
              </w:rPr>
              <w:t xml:space="preserve">Anything under an NDA or regulation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80" w:line="268"/>
            </w:pPr>
            <w:r>
              <w:rPr>
                <w:rFonts w:ascii="Calibri" w:cs="Calibri" w:eastAsia="Calibri" w:hAnsi="Calibri"/>
                <w:color w:val="222B38"/>
                <w:sz w:val="22"/>
                <w:szCs w:val="22"/>
              </w:rPr>
              <w:t xml:space="preserve">Anything you couldn't email outside the company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F0F4F8" w:sz="2"/>
          <w:left w:val="single" w:color="1B2A4A" w:sz="24"/>
          <w:bottom w:val="single" w:color="F0F4F8" w:sz="2"/>
          <w:right w:val="single" w:color="F0F4F8" w:sz="2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0F4F8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B2A4A"/>
                <w:sz w:val="22"/>
                <w:szCs w:val="22"/>
              </w:rPr>
              <w:t xml:space="preserve">Two rules that cover most cases</w:t>
            </w:r>
          </w:p>
          <w:p>
            <w:pPr>
              <w:pStyle w:val="ListParagraph"/>
              <w:numPr>
                <w:ilvl w:val="0"/>
                <w:numId w:val="4"/>
              </w:numPr>
              <w:spacing w:after="90" w:line="272"/>
            </w:pPr>
            <w:r>
              <w:rPr>
                <w:rFonts w:ascii="Calibri" w:cs="Calibri" w:eastAsia="Calibri" w:hAnsi="Calibri"/>
                <w:b/>
                <w:bCs/>
                <w:color w:val="222B38"/>
                <w:sz w:val="22"/>
                <w:szCs w:val="22"/>
              </w:rPr>
              <w:t xml:space="preserve">Check your own company's AI policy first. </w:t>
            </w:r>
            <w:r>
              <w:rPr>
                <w:rFonts w:ascii="Calibri" w:cs="Calibri" w:eastAsia="Calibri" w:hAnsi="Calibri"/>
                <w:color w:val="222B38"/>
                <w:sz w:val="22"/>
                <w:szCs w:val="22"/>
              </w:rPr>
              <w:t xml:space="preserve">It overrides any general advice here.</w:t>
            </w:r>
          </w:p>
          <w:p>
            <w:pPr>
              <w:pStyle w:val="ListParagraph"/>
              <w:numPr>
                <w:ilvl w:val="0"/>
                <w:numId w:val="4"/>
              </w:numPr>
              <w:spacing w:after="90" w:line="272"/>
            </w:pPr>
            <w:r>
              <w:rPr>
                <w:rFonts w:ascii="Calibri" w:cs="Calibri" w:eastAsia="Calibri" w:hAnsi="Calibri"/>
                <w:b/>
                <w:bCs/>
                <w:color w:val="222B38"/>
                <w:sz w:val="22"/>
                <w:szCs w:val="22"/>
              </w:rPr>
              <w:t xml:space="preserve">When in doubt, anonymize it or leave it out</w:t>
            </w:r>
            <w:r>
              <w:rPr>
                <w:rFonts w:ascii="Calibri" w:cs="Calibri" w:eastAsia="Calibri" w:hAnsi="Calibri"/>
                <w:color w:val="222B38"/>
                <w:sz w:val="22"/>
                <w:szCs w:val="22"/>
              </w:rPr>
              <w:t xml:space="preserve"> — and always read the output before you use it.</w:t>
            </w:r>
          </w:p>
        </w:tc>
      </w:tr>
    </w:tbl>
    <w:p>
      <w:pPr>
        <w:pStyle w:val="Heading1"/>
      </w:pPr>
      <w:r>
        <w:t xml:space="preserve">5. Optional: the Microsoft 365 connector</w:t>
      </w:r>
    </w:p>
    <w:p>
      <w:pPr>
        <w:spacing w:after="120" w:line="276"/>
      </w:pPr>
      <w:r>
        <w:t xml:space="preserve">Everything in the webinar works with plain copy-and-paste and a free account. Separately, there is an official Microsoft 365 connector that brings Claude directly into your apps:</w:t>
      </w:r>
    </w:p>
    <w:p>
      <w:pPr>
        <w:pStyle w:val="ListParagraph"/>
        <w:numPr>
          <w:ilvl w:val="0"/>
          <w:numId w:val="3"/>
        </w:numPr>
        <w:spacing w:after="80" w:line="268"/>
      </w:pPr>
      <w:r>
        <w:rPr>
          <w:rFonts w:ascii="Calibri" w:cs="Calibri" w:eastAsia="Calibri" w:hAnsi="Calibri"/>
          <w:color w:val="222B38"/>
          <w:sz w:val="22"/>
          <w:szCs w:val="22"/>
        </w:rPr>
        <w:t xml:space="preserve">It appears as a side panel inside Word, Excel, PowerPoint and Outlook, so you skip the copy-paste.</w:t>
      </w:r>
    </w:p>
    <w:p>
      <w:pPr>
        <w:pStyle w:val="ListParagraph"/>
        <w:numPr>
          <w:ilvl w:val="0"/>
          <w:numId w:val="3"/>
        </w:numPr>
        <w:spacing w:after="80" w:line="268"/>
      </w:pPr>
      <w:r>
        <w:rPr>
          <w:rFonts w:ascii="Calibri" w:cs="Calibri" w:eastAsia="Calibri" w:hAnsi="Calibri"/>
          <w:color w:val="222B38"/>
          <w:sz w:val="22"/>
          <w:szCs w:val="22"/>
        </w:rPr>
        <w:t xml:space="preserve">It can work with the document, spreadsheet or email you have open — limited to content you can already access.</w:t>
      </w:r>
    </w:p>
    <w:p>
      <w:pPr>
        <w:pStyle w:val="ListParagraph"/>
        <w:numPr>
          <w:ilvl w:val="0"/>
          <w:numId w:val="3"/>
        </w:numPr>
        <w:spacing w:after="80" w:line="268"/>
      </w:pPr>
      <w:r>
        <w:rPr>
          <w:rFonts w:ascii="Calibri" w:cs="Calibri" w:eastAsia="Calibri" w:hAnsi="Calibri"/>
          <w:color w:val="222B38"/>
          <w:sz w:val="22"/>
          <w:szCs w:val="22"/>
        </w:rPr>
        <w:t xml:space="preserve">It is set up at the organization level. It requires a </w:t>
      </w:r>
      <w:r>
        <w:rPr>
          <w:rFonts w:ascii="Calibri" w:cs="Calibri" w:eastAsia="Calibri" w:hAnsi="Calibri"/>
          <w:b/>
          <w:bCs/>
          <w:color w:val="222B38"/>
          <w:sz w:val="22"/>
          <w:szCs w:val="22"/>
        </w:rPr>
        <w:t xml:space="preserve">business Microsoft 365 account</w:t>
      </w:r>
      <w:r>
        <w:rPr>
          <w:rFonts w:ascii="Calibri" w:cs="Calibri" w:eastAsia="Calibri" w:hAnsi="Calibri"/>
          <w:color w:val="222B38"/>
          <w:sz w:val="22"/>
          <w:szCs w:val="22"/>
        </w:rPr>
        <w:t xml:space="preserve"> and admin setup, and does not work with personal addresses such as @outlook.com or @hotmail.com.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color w:val="1B2A4A"/>
          <w:sz w:val="22"/>
          <w:szCs w:val="22"/>
        </w:rPr>
        <w:t xml:space="preserve">Don't wait for this to get started</w:t>
      </w:r>
      <w:r>
        <w:rPr>
          <w:rFonts w:ascii="Calibri" w:cs="Calibri" w:eastAsia="Calibri" w:hAnsi="Calibri"/>
          <w:color w:val="222B38"/>
          <w:sz w:val="22"/>
          <w:szCs w:val="22"/>
        </w:rPr>
        <w:t xml:space="preserve"> — the copy-paste workflow delivers most of the value today. If your organization adopts the connector later, it's a convenience upgrade.</w:t>
      </w:r>
    </w:p>
    <w:p>
      <w:pPr>
        <w:pStyle w:val="Heading1"/>
      </w:pPr>
      <w:r>
        <w:t xml:space="preserve">6. Useful links</w:t>
      </w:r>
    </w:p>
    <w:p>
      <w:pPr>
        <w:pStyle w:val="ListParagraph"/>
        <w:numPr>
          <w:ilvl w:val="0"/>
          <w:numId w:val="3"/>
        </w:numPr>
        <w:spacing w:after="80" w:line="268"/>
      </w:pPr>
      <w:r>
        <w:rPr>
          <w:rFonts w:ascii="Calibri" w:cs="Calibri" w:eastAsia="Calibri" w:hAnsi="Calibri"/>
          <w:b/>
          <w:bCs/>
          <w:color w:val="222B38"/>
          <w:sz w:val="22"/>
          <w:szCs w:val="22"/>
        </w:rPr>
        <w:t xml:space="preserve">Sign up / open Claude: </w:t>
      </w:r>
      <w:hyperlink w:history="1" r:id="rIdkws7cx8en59s-wrauqjpa">
        <w:r>
          <w:rPr>
            <w:rStyle w:val="Hyperlink"/>
            <w:rFonts w:ascii="Calibri" w:cs="Calibri" w:eastAsia="Calibri" w:hAnsi="Calibri"/>
            <w:sz w:val="22"/>
            <w:szCs w:val="22"/>
          </w:rPr>
          <w:t xml:space="preserve">https://claude.ai</w:t>
        </w:r>
      </w:hyperlink>
    </w:p>
    <w:p>
      <w:pPr>
        <w:pStyle w:val="ListParagraph"/>
        <w:numPr>
          <w:ilvl w:val="0"/>
          <w:numId w:val="3"/>
        </w:numPr>
        <w:spacing w:after="80" w:line="268"/>
      </w:pPr>
      <w:r>
        <w:rPr>
          <w:rFonts w:ascii="Calibri" w:cs="Calibri" w:eastAsia="Calibri" w:hAnsi="Calibri"/>
          <w:b/>
          <w:bCs/>
          <w:color w:val="222B38"/>
          <w:sz w:val="22"/>
          <w:szCs w:val="22"/>
        </w:rPr>
        <w:t xml:space="preserve">Plans &amp; pricing: </w:t>
      </w:r>
      <w:hyperlink w:history="1" r:id="rIdwt6ykzrwmefvp-pvhvj_l">
        <w:r>
          <w:rPr>
            <w:rStyle w:val="Hyperlink"/>
            <w:rFonts w:ascii="Calibri" w:cs="Calibri" w:eastAsia="Calibri" w:hAnsi="Calibri"/>
            <w:sz w:val="22"/>
            <w:szCs w:val="22"/>
          </w:rPr>
          <w:t xml:space="preserve">https://claude.com/pricing</w:t>
        </w:r>
      </w:hyperlink>
    </w:p>
    <w:p>
      <w:pPr>
        <w:pStyle w:val="ListParagraph"/>
        <w:numPr>
          <w:ilvl w:val="0"/>
          <w:numId w:val="3"/>
        </w:numPr>
        <w:spacing w:after="80" w:line="268"/>
      </w:pPr>
      <w:r>
        <w:rPr>
          <w:rFonts w:ascii="Calibri" w:cs="Calibri" w:eastAsia="Calibri" w:hAnsi="Calibri"/>
          <w:b/>
          <w:bCs/>
          <w:color w:val="222B38"/>
          <w:sz w:val="22"/>
          <w:szCs w:val="22"/>
        </w:rPr>
        <w:t xml:space="preserve">Help center — choosing a plan: </w:t>
      </w:r>
      <w:hyperlink w:history="1" r:id="rIdiqtwdizawuq9r8fuksx7l">
        <w:r>
          <w:rPr>
            <w:rStyle w:val="Hyperlink"/>
            <w:rFonts w:ascii="Calibri" w:cs="Calibri" w:eastAsia="Calibri" w:hAnsi="Calibri"/>
            <w:sz w:val="22"/>
            <w:szCs w:val="22"/>
          </w:rPr>
          <w:t xml:space="preserve">https://support.claude.com/en/articles/11049762-choose-a-claude-plan</w:t>
        </w:r>
      </w:hyperlink>
    </w:p>
    <w:p>
      <w:pPr>
        <w:pStyle w:val="ListParagraph"/>
        <w:numPr>
          <w:ilvl w:val="0"/>
          <w:numId w:val="3"/>
        </w:numPr>
        <w:spacing w:after="80" w:line="268"/>
      </w:pPr>
      <w:r>
        <w:rPr>
          <w:rFonts w:ascii="Calibri" w:cs="Calibri" w:eastAsia="Calibri" w:hAnsi="Calibri"/>
          <w:b/>
          <w:bCs/>
          <w:color w:val="222B38"/>
          <w:sz w:val="22"/>
          <w:szCs w:val="22"/>
        </w:rPr>
        <w:t xml:space="preserve">Privacy — is my data used for training?: </w:t>
      </w:r>
      <w:hyperlink w:history="1" r:id="rIdccxzphtbrvmrixjsdqcxz">
        <w:r>
          <w:rPr>
            <w:rStyle w:val="Hyperlink"/>
            <w:rFonts w:ascii="Calibri" w:cs="Calibri" w:eastAsia="Calibri" w:hAnsi="Calibri"/>
            <w:sz w:val="22"/>
            <w:szCs w:val="22"/>
          </w:rPr>
          <w:t xml:space="preserve">https://privacy.claude.com/en/articles/10023580-is-my-data-used-for-model-training</w:t>
        </w:r>
      </w:hyperlink>
    </w:p>
    <w:p>
      <w:pPr>
        <w:pStyle w:val="ListParagraph"/>
        <w:numPr>
          <w:ilvl w:val="0"/>
          <w:numId w:val="3"/>
        </w:numPr>
        <w:spacing w:after="80" w:line="268"/>
      </w:pPr>
      <w:r>
        <w:rPr>
          <w:rFonts w:ascii="Calibri" w:cs="Calibri" w:eastAsia="Calibri" w:hAnsi="Calibri"/>
          <w:b/>
          <w:bCs/>
          <w:color w:val="222B38"/>
          <w:sz w:val="22"/>
          <w:szCs w:val="22"/>
        </w:rPr>
        <w:t xml:space="preserve">Set up the Microsoft 365 connector: </w:t>
      </w:r>
      <w:hyperlink w:history="1" r:id="rIds5vevzuistr9bpenqtrmg">
        <w:r>
          <w:rPr>
            <w:rStyle w:val="Hyperlink"/>
            <w:rFonts w:ascii="Calibri" w:cs="Calibri" w:eastAsia="Calibri" w:hAnsi="Calibri"/>
            <w:sz w:val="22"/>
            <w:szCs w:val="22"/>
          </w:rPr>
          <w:t xml:space="preserve">https://support.claude.com/en/articles/12542951-set-up-the-microsoft-365-connector</w:t>
        </w:r>
      </w:hyperlink>
    </w:p>
    <w:p>
      <w:pPr>
        <w:spacing w:after="120"/>
      </w:pPr>
    </w:p>
    <w:p>
      <w:pPr>
        <w:spacing w:after="120" w:line="276"/>
      </w:pPr>
      <w:r>
        <w:rPr>
          <w:rFonts w:ascii="Calibri" w:cs="Calibri" w:eastAsia="Calibri" w:hAnsi="Calibri"/>
          <w:i/>
          <w:iCs/>
          <w:color w:val="8893A5"/>
          <w:sz w:val="18"/>
          <w:szCs w:val="18"/>
        </w:rPr>
        <w:t xml:space="preserve">Prepared as a general orientation for attendees. Not affiliated with or endorsed by Anthropic or Microsoft. Verify all pricing and policy details at the official links above before relying on them.</w:t>
      </w:r>
    </w:p>
    <w:sectPr>
      <w:footerReference w:type="default" r:id="rId7"/>
      <w:pgSz w:w="12240" w:h="15840" w:orient="portrait"/>
      <w:pgMar w:top="1080" w:right="1440" w:bottom="108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9D3E0" w:sz="4" w:space="6"/>
      </w:pBdr>
      <w:tabs>
        <w:tab w:val="right" w:pos="9360"/>
      </w:tabs>
    </w:pPr>
    <w:r>
      <w:rPr>
        <w:rFonts w:ascii="Calibri" w:cs="Calibri" w:eastAsia="Calibri" w:hAnsi="Calibri"/>
        <w:color w:val="8893A5"/>
        <w:sz w:val="16"/>
        <w:szCs w:val="16"/>
      </w:rPr>
      <w:t xml:space="preserve">Download &amp; Licensing Guide  |  Claude + Microsoft 365</w:t>
    </w:r>
    <w:r>
      <w:rPr>
        <w:rFonts w:ascii="Calibri" w:cs="Calibri" w:eastAsia="Calibri" w:hAnsi="Calibri"/>
        <w:color w:val="8893A5"/>
        <w:sz w:val="16"/>
        <w:szCs w:val="16"/>
      </w:rPr>
      <w:t xml:space="preserve">	Page </w:t>
    </w:r>
    <w:r>
      <w:rPr>
        <w:rFonts w:ascii="Calibri" w:cs="Calibri" w:eastAsia="Calibri" w:hAnsi="Calibri"/>
        <w:color w:val="8893A5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  <w:lvl w:ilvl="1" w15:tentative="1">
      <w:start w:val="1"/>
      <w:numFmt w:val="bullet"/>
      <w:lvlText w:val="–"/>
      <w:lvlJc w:val="left"/>
      <w:pPr>
        <w:ind w:left="90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8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8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8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22B38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280"/>
      <w:outlineLvl w:val="0"/>
    </w:pPr>
    <w:rPr>
      <w:rFonts w:ascii="Georgia" w:cs="Georgia" w:eastAsia="Georgia" w:hAnsi="Georgia"/>
      <w:b/>
      <w:bCs/>
      <w:color w:val="1B2A4A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Calibri" w:cs="Calibri" w:eastAsia="Calibri" w:hAnsi="Calibri"/>
      <w:b/>
      <w:bCs/>
      <w:color w:val="2C8C8C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hch1whzeygsdcy3kvwrvn" Type="http://schemas.openxmlformats.org/officeDocument/2006/relationships/hyperlink" Target="https://claude.ai" TargetMode="External"/><Relationship Id="rIdkws7cx8en59s-wrauqjpa" Type="http://schemas.openxmlformats.org/officeDocument/2006/relationships/hyperlink" Target="https://claude.ai" TargetMode="External"/><Relationship Id="rIdwt6ykzrwmefvp-pvhvj_l" Type="http://schemas.openxmlformats.org/officeDocument/2006/relationships/hyperlink" Target="https://claude.com/pricing" TargetMode="External"/><Relationship Id="rIdiqtwdizawuq9r8fuksx7l" Type="http://schemas.openxmlformats.org/officeDocument/2006/relationships/hyperlink" Target="https://support.claude.com/en/articles/11049762-choose-a-claude-plan" TargetMode="External"/><Relationship Id="rIdccxzphtbrvmrixjsdqcxz" Type="http://schemas.openxmlformats.org/officeDocument/2006/relationships/hyperlink" Target="https://privacy.claude.com/en/articles/10023580-is-my-data-used-for-model-training" TargetMode="External"/><Relationship Id="rIds5vevzuistr9bpenqtrmg" Type="http://schemas.openxmlformats.org/officeDocument/2006/relationships/hyperlink" Target="https://support.claude.com/en/articles/12542951-set-up-the-microsoft-365-connector" TargetMode="External"/><Relationship Id="rId1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2026-06-08T18:12:08.902Z</dcterms:created>
  <dcterms:modified xsi:type="dcterms:W3CDTF">2026-06-08T18:12:08.902Z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