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834E1E">
      <w:pPr>
        <w:pStyle w:val="2"/>
        <w:numPr>
          <w:ilvl w:val="0"/>
          <w:numId w:val="1"/>
        </w:numPr>
        <w:bidi w:val="0"/>
        <w:rPr>
          <w:rFonts w:hint="eastAsia" w:ascii="宋体" w:hAnsi="宋体" w:eastAsia="宋体" w:cs="宋体"/>
          <w:lang w:val="en-US" w:eastAsia="zh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苹果</w:t>
      </w:r>
      <w:r>
        <w:rPr>
          <w:rFonts w:hint="eastAsia" w:ascii="宋体" w:hAnsi="宋体" w:cs="宋体"/>
          <w:lang w:val="en-US" w:eastAsia="zh-CN"/>
          <w:woUserID w:val="1"/>
        </w:rPr>
        <w:t>公司</w:t>
      </w:r>
      <w:r>
        <w:rPr>
          <w:rFonts w:hint="eastAsia" w:ascii="宋体" w:hAnsi="宋体" w:eastAsia="宋体" w:cs="宋体"/>
          <w:lang w:val="en-US" w:eastAsia="zh"/>
          <w:woUserID w:val="1"/>
        </w:rPr>
        <w:t>AI优化通信体验</w:t>
      </w:r>
      <w:r>
        <w:rPr>
          <w:rFonts w:hint="eastAsia" w:ascii="宋体" w:hAnsi="宋体" w:cs="宋体"/>
          <w:lang w:val="en-US" w:eastAsia="zh-CN"/>
          <w:woUserID w:val="1"/>
        </w:rPr>
        <w:t>方向</w:t>
      </w:r>
    </w:p>
    <w:p w14:paraId="6A675C23">
      <w:pPr>
        <w:pStyle w:val="3"/>
        <w:keepNext w:val="0"/>
        <w:keepLines w:val="0"/>
        <w:widowControl/>
        <w:suppressLineNumbers w:val="0"/>
        <w:bidi w:val="0"/>
        <w:rPr>
          <w:woUserID w:val="1"/>
        </w:rPr>
      </w:pPr>
      <w:r>
        <w:rPr>
          <w:rFonts w:hint="eastAsia"/>
          <w:lang w:eastAsia="zh"/>
          <w:woUserID w:val="1"/>
        </w:rPr>
        <w:t>1、</w:t>
      </w:r>
      <w:r>
        <w:rPr>
          <w:woUserID w:val="1"/>
        </w:rPr>
        <w:t>苹果专利：部署后 AI/ML 功能与漂移验证</w:t>
      </w:r>
    </w:p>
    <w:p w14:paraId="5B6B00FF">
      <w:pPr>
        <w:numPr>
          <w:ilvl w:val="0"/>
          <w:numId w:val="0"/>
        </w:numPr>
        <w:bidi w:val="0"/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</w:pPr>
      <w: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  <w:t xml:space="preserve">优先权日：2024-04-02；公开日：2025-10-09；申请待审。专利 WO2025212463A1 — </w:t>
      </w:r>
      <w: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  <w:fldChar w:fldCharType="begin"/>
      </w:r>
      <w: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  <w:instrText xml:space="preserve"> HYPERLINK "https://patents.google.com/patent/WO2025212463A1/en" </w:instrText>
      </w:r>
      <w: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  <w:fldChar w:fldCharType="separate"/>
      </w:r>
      <w:r>
        <w:rPr>
          <w:rStyle w:val="10"/>
          <w:rFonts w:hint="eastAsia" w:ascii="Times New Roman" w:hAnsi="Times New Roman" w:eastAsia="宋体"/>
          <w:lang w:val="en-US" w:eastAsia="zh"/>
          <w:woUserID w:val="1"/>
        </w:rPr>
        <w:t>Post deployment artificial intelligence / machine learning (AI/ML) functionality and drift validation</w:t>
      </w:r>
      <w: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  <w:fldChar w:fldCharType="end"/>
      </w:r>
    </w:p>
    <w:p w14:paraId="7B94002A">
      <w:pPr>
        <w:numPr>
          <w:ilvl w:val="0"/>
          <w:numId w:val="0"/>
        </w:numPr>
        <w:bidi w:val="0"/>
        <w:rPr>
          <w:rFonts w:hint="eastAsia" w:ascii="Times New Roman" w:hAnsi="Times New Roman" w:eastAsia="宋体"/>
          <w:b/>
          <w:bCs/>
          <w:color w:val="000000"/>
          <w:u w:val="none"/>
          <w:lang w:val="en-US" w:eastAsia="zh"/>
          <w:woUserID w:val="1"/>
        </w:rPr>
      </w:pPr>
      <w:r>
        <w:rPr>
          <w:rFonts w:hint="eastAsia" w:ascii="Times New Roman" w:hAnsi="Times New Roman" w:eastAsia="宋体"/>
          <w:b/>
          <w:bCs/>
          <w:color w:val="000000"/>
          <w:u w:val="none"/>
          <w:lang w:val="en-US" w:eastAsia="zh"/>
          <w:woUserID w:val="1"/>
        </w:rPr>
        <w:t>（1）技术概述</w:t>
      </w:r>
    </w:p>
    <w:p w14:paraId="52C06254">
      <w:pPr>
        <w:numPr>
          <w:ilvl w:val="0"/>
          <w:numId w:val="0"/>
        </w:numPr>
        <w:bidi w:val="0"/>
        <w:ind w:firstLine="420" w:firstLineChars="0"/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</w:pPr>
      <w: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  <w:t>这篇专利关注手机无线 AI 功能投入使用后的性能保障。一个模型在开发阶段通过测试，只能说明它在当时规定的场景和配置下表现合格。手机进入新的无线环境，或者模型通过更新、微调发生变化后，原先的测试结论可能不再适用。苹果要解决的问题是：</w:t>
      </w:r>
      <w:r>
        <w:rPr>
          <w:rFonts w:hint="eastAsia" w:ascii="Times New Roman" w:hAnsi="Times New Roman" w:eastAsia="宋体"/>
          <w:b/>
          <w:bCs/>
          <w:color w:val="000000"/>
          <w:u w:val="none"/>
          <w:lang w:val="en-US" w:eastAsia="zh"/>
          <w:woUserID w:val="1"/>
        </w:rPr>
        <w:t>怎样在运行中发现模型表现退化，以及怎样确认替代模型足够可靠，才允许它接管原来的功能</w:t>
      </w:r>
      <w: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  <w:t>。</w:t>
      </w:r>
    </w:p>
    <w:p w14:paraId="4354D35E">
      <w:pPr>
        <w:numPr>
          <w:ilvl w:val="0"/>
          <w:numId w:val="0"/>
        </w:numPr>
        <w:bidi w:val="0"/>
        <w:ind w:firstLine="420" w:firstLineChars="0"/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</w:pPr>
      <w: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  <w:t>专利提出的整体机制是：</w:t>
      </w:r>
      <w:r>
        <w:rPr>
          <w:rFonts w:hint="eastAsia" w:ascii="Times New Roman" w:hAnsi="Times New Roman" w:eastAsia="宋体"/>
          <w:b/>
          <w:bCs/>
          <w:color w:val="000000"/>
          <w:u w:val="none"/>
          <w:lang w:val="en-US" w:eastAsia="zh"/>
          <w:woUserID w:val="1"/>
        </w:rPr>
        <w:t>手机计算并上报模型的监控指标；网络根据指标变化判断是否发生性能漂移；随后选择新模型或微调原模型；手机对候选模型重新计算指标；网络验证通过后发出激活消息，未通过则维持旧模型或回退到不使用该 AI 模型的功能</w:t>
      </w:r>
      <w: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  <w:t>。它讨论的是模型部署后的监控、更新和验收机制，没有限定必须使用某一种 AI 算法。</w:t>
      </w:r>
    </w:p>
    <w:p w14:paraId="60F00262">
      <w:pPr>
        <w:numPr>
          <w:ilvl w:val="0"/>
          <w:numId w:val="0"/>
        </w:numPr>
        <w:bidi w:val="0"/>
        <w:rPr>
          <w:rFonts w:hint="eastAsia" w:ascii="Times New Roman" w:hAnsi="Times New Roman" w:eastAsia="宋体"/>
          <w:b/>
          <w:bCs/>
          <w:color w:val="000000"/>
          <w:u w:val="none"/>
          <w:lang w:val="en-US" w:eastAsia="zh"/>
          <w:woUserID w:val="1"/>
        </w:rPr>
      </w:pPr>
      <w:r>
        <w:rPr>
          <w:rFonts w:hint="eastAsia" w:ascii="Times New Roman" w:hAnsi="Times New Roman" w:eastAsia="宋体"/>
          <w:b/>
          <w:bCs/>
          <w:color w:val="000000"/>
          <w:u w:val="none"/>
          <w:lang w:val="en-US" w:eastAsia="zh"/>
          <w:woUserID w:val="1"/>
        </w:rPr>
        <w:t>（2）关键点</w:t>
      </w:r>
    </w:p>
    <w:p w14:paraId="0496C5AB">
      <w:pPr>
        <w:numPr>
          <w:ilvl w:val="0"/>
          <w:numId w:val="0"/>
        </w:numPr>
        <w:bidi w:val="0"/>
        <w:ind w:firstLine="420" w:firstLineChars="0"/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</w:pPr>
      <w: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  <w:t>第一，</w:t>
      </w:r>
      <w:r>
        <w:rPr>
          <w:rFonts w:hint="eastAsia" w:ascii="Times New Roman" w:hAnsi="Times New Roman" w:eastAsia="宋体"/>
          <w:b/>
          <w:bCs/>
          <w:color w:val="000000"/>
          <w:u w:val="none"/>
          <w:lang w:val="en-US" w:eastAsia="zh"/>
          <w:woUserID w:val="1"/>
        </w:rPr>
        <w:t>漂移检测与新模型验证是两次不同的判断</w:t>
      </w:r>
      <w: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  <w:t>。漂移检测比较的是现用模型当前与过去的监控指标，目的是发现它是否需要被处理；新模型验证比较的是候选模型的指标与启用门限，目的是决定它能否正式工作。即使旧模型表现变差，新模型也不能直接启用。图 11 展示了这条完整链路；图 14 和图 17 分别从手机侧、网络侧将其拆成执行步骤。</w:t>
      </w:r>
    </w:p>
    <w:p w14:paraId="6F899A27">
      <w:pPr>
        <w:numPr>
          <w:ilvl w:val="0"/>
          <w:numId w:val="0"/>
        </w:numPr>
        <w:bidi w:val="0"/>
        <w:ind w:firstLine="420" w:firstLineChars="0"/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</w:pPr>
      <w: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  <w:t>第二，</w:t>
      </w:r>
      <w:r>
        <w:rPr>
          <w:rFonts w:hint="eastAsia" w:ascii="Times New Roman" w:hAnsi="Times New Roman" w:eastAsia="宋体"/>
          <w:b/>
          <w:bCs/>
          <w:color w:val="000000"/>
          <w:u w:val="none"/>
          <w:lang w:val="en-US" w:eastAsia="zh"/>
          <w:woUserID w:val="1"/>
        </w:rPr>
        <w:t>模型更新有多条路径，并非每次都重新训练</w:t>
      </w:r>
      <w: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  <w:t>。</w:t>
      </w:r>
      <w:r>
        <w:rPr>
          <w:rFonts w:hint="eastAsia" w:ascii="Times New Roman" w:hAnsi="Times New Roman" w:eastAsia="宋体"/>
          <w:b/>
          <w:bCs/>
          <w:color w:val="000000"/>
          <w:u w:val="none"/>
          <w:lang w:val="en-US" w:eastAsia="zh"/>
          <w:woUserID w:val="1"/>
        </w:rPr>
        <w:t>网络可以让手机切换到已经存储的另一模型，也可以通过网络或外部服务器向手机提供新模型</w:t>
      </w:r>
      <w: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  <w:t>。如果选择</w:t>
      </w:r>
      <w:r>
        <w:rPr>
          <w:rFonts w:hint="eastAsia" w:ascii="Times New Roman" w:hAnsi="Times New Roman" w:eastAsia="宋体"/>
          <w:b/>
          <w:bCs/>
          <w:color w:val="000000"/>
          <w:u w:val="none"/>
          <w:lang w:val="en-US" w:eastAsia="zh"/>
          <w:woUserID w:val="1"/>
        </w:rPr>
        <w:t>微调</w:t>
      </w:r>
      <w: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  <w:t>，图 12 描述</w:t>
      </w:r>
      <w:r>
        <w:rPr>
          <w:rFonts w:hint="eastAsia" w:ascii="Times New Roman" w:hAnsi="Times New Roman" w:eastAsia="宋体"/>
          <w:b/>
          <w:bCs/>
          <w:color w:val="000000"/>
          <w:u w:val="none"/>
          <w:lang w:val="en-US" w:eastAsia="zh"/>
          <w:woUserID w:val="1"/>
        </w:rPr>
        <w:t>手机本地采集数据并训练</w:t>
      </w:r>
      <w: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  <w:t>，图 13 描述</w:t>
      </w:r>
      <w:r>
        <w:rPr>
          <w:rFonts w:hint="eastAsia" w:ascii="Times New Roman" w:hAnsi="Times New Roman" w:eastAsia="宋体"/>
          <w:b/>
          <w:bCs/>
          <w:color w:val="000000"/>
          <w:u w:val="none"/>
          <w:lang w:val="en-US" w:eastAsia="zh"/>
          <w:woUserID w:val="1"/>
        </w:rPr>
        <w:t>手机采集数据、外部服务器承担训练。无论训练发生在哪里，微调后的模型回到手机上，都需要重新计算指标并接受启用判断</w:t>
      </w:r>
      <w: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  <w:t>。专利还提出</w:t>
      </w:r>
      <w:r>
        <w:rPr>
          <w:rFonts w:hint="eastAsia" w:ascii="Times New Roman" w:hAnsi="Times New Roman" w:eastAsia="宋体"/>
          <w:b/>
          <w:bCs/>
          <w:color w:val="000000"/>
          <w:u w:val="none"/>
          <w:lang w:val="en-US" w:eastAsia="zh"/>
          <w:woUserID w:val="1"/>
        </w:rPr>
        <w:t>用模型 ID 关联适用场景或配置</w:t>
      </w:r>
      <w: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  <w:t>，以便识别不同条件下可用的模型。</w:t>
      </w:r>
    </w:p>
    <w:p w14:paraId="0EA324F3">
      <w:pPr>
        <w:numPr>
          <w:ilvl w:val="0"/>
          <w:numId w:val="0"/>
        </w:numPr>
        <w:bidi w:val="0"/>
        <w:ind w:firstLine="420" w:firstLineChars="0"/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</w:pPr>
      <w: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  <w:t>第三，</w:t>
      </w:r>
      <w:r>
        <w:rPr>
          <w:rFonts w:hint="eastAsia" w:ascii="Times New Roman" w:hAnsi="Times New Roman" w:eastAsia="宋体"/>
          <w:b/>
          <w:bCs/>
          <w:color w:val="000000"/>
          <w:u w:val="none"/>
          <w:lang w:val="en-US" w:eastAsia="zh"/>
          <w:woUserID w:val="1"/>
        </w:rPr>
        <w:t>方案把失败后的回退纳入模型更新流程</w:t>
      </w:r>
      <w: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  <w:t>。</w:t>
      </w:r>
      <w:r>
        <w:rPr>
          <w:rFonts w:hint="eastAsia" w:ascii="Times New Roman" w:hAnsi="Times New Roman" w:eastAsia="宋体"/>
          <w:b/>
          <w:bCs/>
          <w:color w:val="000000"/>
          <w:u w:val="none"/>
          <w:lang w:val="en-US" w:eastAsia="zh"/>
          <w:woUserID w:val="1"/>
        </w:rPr>
        <w:t>如果候选模型的指标没有达到门限，手机可继续使用先前通过验证的模型，或暂时采用不依赖该 AI 模型的传统功能</w:t>
      </w:r>
      <w: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  <w:t>。微调期间也可采用这种方式。对无线功能而言，这一点很关键：模型更新不只是提高平均预测准确率，还要避免更新过程或新模型失准影响手机正常通信。</w:t>
      </w:r>
    </w:p>
    <w:p w14:paraId="4DF20D91">
      <w:pPr>
        <w:numPr>
          <w:ilvl w:val="0"/>
          <w:numId w:val="0"/>
        </w:numPr>
        <w:bidi w:val="0"/>
        <w:ind w:firstLine="420" w:firstLineChars="0"/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</w:pPr>
      <w: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  <w:t>第四，专利</w:t>
      </w:r>
      <w:r>
        <w:rPr>
          <w:rFonts w:hint="eastAsia" w:ascii="Times New Roman" w:hAnsi="Times New Roman" w:eastAsia="宋体"/>
          <w:b/>
          <w:bCs/>
          <w:color w:val="000000"/>
          <w:u w:val="none"/>
          <w:lang w:val="en-US" w:eastAsia="zh"/>
          <w:woUserID w:val="1"/>
        </w:rPr>
        <w:t>给出了验证框架，却没有给出完整的测试判据</w:t>
      </w:r>
      <w: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  <w:t>。原文提到可以监控数据特征、系统性能和环境条件，并以波束 RSRP、波束 ID 预测作为无线 AI 输出的例子；但它没有规定部署后必须使用哪组指标、漂移量如何计算、门限取多少，也没有说明所有场景中的真实结果如何取得。因此，“网络验证通过”在这篇中主要是一种流程设计，还不是可以直接照搬到测试仪表里的完整用例。</w:t>
      </w:r>
    </w:p>
    <w:p w14:paraId="007771FC">
      <w:pPr>
        <w:numPr>
          <w:ilvl w:val="0"/>
          <w:numId w:val="0"/>
        </w:numPr>
        <w:bidi w:val="0"/>
        <w:rPr>
          <w:rFonts w:hint="eastAsia" w:ascii="Times New Roman" w:hAnsi="Times New Roman" w:eastAsia="宋体"/>
          <w:b/>
          <w:bCs/>
          <w:color w:val="000000"/>
          <w:u w:val="none"/>
          <w:lang w:val="en-US" w:eastAsia="zh"/>
          <w:woUserID w:val="1"/>
        </w:rPr>
      </w:pPr>
      <w:r>
        <w:rPr>
          <w:rFonts w:hint="eastAsia" w:ascii="Times New Roman" w:hAnsi="Times New Roman" w:eastAsia="宋体"/>
          <w:b/>
          <w:bCs/>
          <w:color w:val="000000"/>
          <w:u w:val="none"/>
          <w:lang w:val="en-US" w:eastAsia="zh"/>
          <w:woUserID w:val="1"/>
        </w:rPr>
        <w:t>（3）研究启示、成熟度与应用思路</w:t>
      </w:r>
    </w:p>
    <w:p w14:paraId="2ACE6AE7">
      <w:pPr>
        <w:numPr>
          <w:ilvl w:val="0"/>
          <w:numId w:val="0"/>
        </w:numPr>
        <w:bidi w:val="0"/>
        <w:ind w:firstLine="420" w:firstLineChars="0"/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</w:pPr>
      <w: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  <w:t>启示是：</w:t>
      </w:r>
      <w:r>
        <w:rPr>
          <w:rFonts w:hint="eastAsia" w:ascii="Times New Roman" w:hAnsi="Times New Roman" w:eastAsia="宋体"/>
          <w:b/>
          <w:bCs/>
          <w:color w:val="000000"/>
          <w:u w:val="none"/>
          <w:lang w:val="en-US" w:eastAsia="zh"/>
          <w:woUserID w:val="1"/>
        </w:rPr>
        <w:t>无线 AI 功能的测试不能只停在“初始模型在规定场景下是否达标”，还应关注环境变化或模型更新后，终端性能是否仍满足要求</w:t>
      </w:r>
      <w: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  <w:t>。专利明确指出，预先覆盖所有传播条件与配置并不现实，因而提出部署后的持续监控与再验证。当前 3GPP Rel-19 的 RAN4 工作已经涉及 AI/ML 波束管理相关的 L1-RSRP 测量和 TCI 状态切换时延要求，这为选择具体的终端性能观察对象提供了参照；苹果提出的网络审批激活流程本身不能等同于已被标准采用。</w:t>
      </w:r>
    </w:p>
    <w:p w14:paraId="79C6F3CA">
      <w:pPr>
        <w:numPr>
          <w:ilvl w:val="0"/>
          <w:numId w:val="0"/>
        </w:numPr>
        <w:bidi w:val="0"/>
        <w:ind w:firstLine="420" w:firstLineChars="0"/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</w:pPr>
      <w: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  <w:t>应用思路可以落在手机企业可控的实验室测试中。以 AI 波束预测为例，先在一组信道和移动条件下测旧模型，再改变遮挡、移动状态或信道条件，观察模型预测与终端实际无线表现是否退化；随后载入候选模型，在原场景和新增场景中复测，并检查不达标时能否保持旧功能或回退。</w:t>
      </w:r>
      <w:r>
        <w:rPr>
          <w:rFonts w:hint="eastAsia" w:ascii="Times New Roman" w:hAnsi="Times New Roman" w:eastAsia="宋体"/>
          <w:b/>
          <w:bCs/>
          <w:color w:val="000000"/>
          <w:u w:val="none"/>
          <w:lang w:val="en-US" w:eastAsia="zh"/>
          <w:woUserID w:val="1"/>
        </w:rPr>
        <w:t>这样既能研究何时需要重新测试，也能研究更新后哪些性能必须复测</w:t>
      </w:r>
      <w: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  <w:t>。具体测试指标、场景组合和合格门限，需要结合对应版本的 RAN4 要求及实验目标另行设计；它们不是专利现成给出的结果。</w:t>
      </w:r>
    </w:p>
    <w:p w14:paraId="4F0077B6">
      <w:pPr>
        <w:numPr>
          <w:ilvl w:val="0"/>
          <w:numId w:val="0"/>
        </w:numP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</w:pPr>
      <w: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  <w:t>研究成熟度方面，这是一份提出系统流程和多种实施方式的待审专利。它已经把手机、网络、服务器各自的操作和回退关系描述清楚，但没有提供模型结构、数据集、定量实验或真实商用网络部署证据。因此，它适合作为部署后 AI 无线功能测试方法的研究依据，不能表述为苹果已经验证了一套可直接投入现网的完整测试系统。</w:t>
      </w:r>
    </w:p>
    <w:p w14:paraId="46B4F564">
      <w:pPr>
        <w:numPr>
          <w:ilvl w:val="0"/>
          <w:numId w:val="0"/>
        </w:numP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</w:pPr>
    </w:p>
    <w:p w14:paraId="66F61539">
      <w:pPr>
        <w:pStyle w:val="3"/>
        <w:bidi w:val="0"/>
      </w:pPr>
      <w:r>
        <w:rPr>
          <w:rFonts w:hint="eastAsia"/>
          <w:lang w:val="en-US" w:eastAsia="zh-CN"/>
        </w:rPr>
        <w:t>2</w:t>
      </w:r>
      <w:r>
        <w:t>、苹果专利：终端预测网络吞吐量，改善视频码率选择</w:t>
      </w:r>
    </w:p>
    <w:p w14:paraId="5BBAA56B">
      <w:pPr>
        <w:bidi w:val="0"/>
      </w:pPr>
      <w:r>
        <w:t xml:space="preserve">优先权日：2023-03-15；公开日：2025-06-19；该申请公开页面标注为待审。专利 US20250202793A1 — </w:t>
      </w:r>
      <w:r>
        <w:rPr>
          <w:rStyle w:val="10"/>
        </w:rPr>
        <w:fldChar w:fldCharType="begin"/>
      </w:r>
      <w:r>
        <w:rPr>
          <w:rStyle w:val="10"/>
        </w:rPr>
        <w:instrText xml:space="preserve"> HYPERLINK "https://patents.google.com/patent/US20250202793A1/en?utm_source=chatgpt.com" </w:instrText>
      </w:r>
      <w:r>
        <w:rPr>
          <w:rStyle w:val="10"/>
        </w:rPr>
        <w:fldChar w:fldCharType="separate"/>
      </w:r>
      <w:r>
        <w:rPr>
          <w:rStyle w:val="10"/>
        </w:rPr>
        <w:t>On-device machine learning-based network bandwidth prediction to improve adaptive media streaming performance</w:t>
      </w:r>
      <w:r>
        <w:rPr>
          <w:rStyle w:val="10"/>
        </w:rPr>
        <w:fldChar w:fldCharType="end"/>
      </w:r>
      <w:r>
        <w:t>。</w:t>
      </w:r>
    </w:p>
    <w:p w14:paraId="16ECAB17">
      <w:pPr>
        <w:bidi w:val="0"/>
        <w:rPr>
          <w:b/>
          <w:bCs/>
        </w:rPr>
      </w:pPr>
      <w:r>
        <w:rPr>
          <w:b/>
          <w:bCs/>
        </w:rPr>
        <w:t>（1）技术概述</w:t>
      </w:r>
    </w:p>
    <w:p w14:paraId="12728A66">
      <w:pPr>
        <w:bidi w:val="0"/>
        <w:ind w:firstLine="420" w:firstLineChars="0"/>
      </w:pPr>
      <w:r>
        <w:t>这篇专利关注视频开始播放以及网络发生切换时，终端如何选择合适的视频码率。流媒体通常将同一段视频制作成多个质量版本，并分成小段供播放器逐段下载。较高码率通常能够提供更好的画面，但也需要更高的下载速度。播放器因此需要估计当前网络能够提供的吞吐量，也就是单位时间内实际能够收到多少数据，再决定下一段视频下载哪个版本。</w:t>
      </w:r>
    </w:p>
    <w:p w14:paraId="16CA33F4">
      <w:pPr>
        <w:bidi w:val="0"/>
        <w:ind w:firstLine="420" w:firstLineChars="0"/>
      </w:pPr>
      <w:r>
        <w:t>问题在于，传统吞吐量估计需要先下载一段数据，才能获得较可靠的观测；而播放器在第一次下载之前，就必须作出选择。如果保守地选择低码率，网络条件良好时也可能暂时只能看到较低画质；如果选择过高码率，又可能导致下载跟不上播放。网络切换也会产生类似问题：旧网络上的测量结果，未必能够代表新网络。</w:t>
      </w:r>
    </w:p>
    <w:p w14:paraId="7D81E220">
      <w:pPr>
        <w:bidi w:val="0"/>
        <w:ind w:firstLine="420" w:firstLineChars="0"/>
      </w:pPr>
      <w:r>
        <w:t>苹果提出的思路是：利用历史播放经验补足当前测量不足，再随着实际观测积累，调整两种估计的作用。终端建立机器学习吞吐量模型，将模型预测与当前网络测量融合，最终交给播放器选择视频分片。图 1 展示系统模块，图 2 描述预测与融合流程，图 3 描述历史数据采集和模型构建。</w:t>
      </w:r>
    </w:p>
    <w:p w14:paraId="220288B5">
      <w:pPr>
        <w:bidi w:val="0"/>
        <w:rPr>
          <w:b/>
          <w:bCs/>
        </w:rPr>
      </w:pPr>
      <w:r>
        <w:rPr>
          <w:b/>
          <w:bCs/>
        </w:rPr>
        <w:t>（2）关键点</w:t>
      </w:r>
    </w:p>
    <w:p w14:paraId="16C6DFA0">
      <w:pPr>
        <w:bidi w:val="0"/>
        <w:ind w:firstLine="420" w:firstLineChars="0"/>
      </w:pPr>
      <w:r>
        <w:t>第一，历史模型提供提前判断的依据，即时测量提供当前播放的实际依据。模型可以利用网络类型、网络标识、时间和位置等历史信息建立预测；即时估计则可利用当前接收速率或播放器缓冲状态。两者承担的作用不同：历史数据能够在下载尚未开始时提供参考，但过去的规律可能不适用于当前情况；当前观测更贴近本次播放，却需要时间积累。例如，设备过去在某个网络上通常能获得较高吞吐量，模型可以据此帮助启动阶段作判断，但当天网络拥塞时，仍需要实际下载结果修正这一判断。</w:t>
      </w:r>
    </w:p>
    <w:p w14:paraId="557A417D">
      <w:pPr>
        <w:bidi w:val="0"/>
        <w:ind w:firstLine="420" w:firstLineChars="0"/>
      </w:pPr>
      <w:r>
        <w:t>第二，融合权重随着估计可靠程度变化，而不是始终固定地相信模型。专利考虑即时估计是否已经稳定，以及当前环境与历史环境是否相似，并提出按可信程度加权；网络切换后可以重新调整权重。这项设计的核心是处理两类信息各自的不确定性。例如，模型预计可获得 8 Mbps，而实际下载逐渐显示只能获得约 4 Mbps，此时若持续给历史预测过高权重，就可能继续高估网络能力。相反，在刚开始播放、即时测量样本很少时，单次下载结果也可能受到偶然波动影响。需要验证的是权重能否随证据变化合理调整，既利用历史经验，又及时响应当前网络。</w:t>
      </w:r>
    </w:p>
    <w:p w14:paraId="7BE24FDD">
      <w:pPr>
        <w:bidi w:val="0"/>
        <w:ind w:firstLine="420" w:firstLineChars="0"/>
      </w:pPr>
      <w:r>
        <w:t>第三，模型学习和播放器决策属于两个相互连接的过程。终端可在一段时间内积累历史播放统计，再建立模型；原文列举随机森林、梯度提升树和神经网络，并考虑在设备较空闲时进行模型构建。这意味着不必在每次选择视频分片时重新训练模型。运行阶段主要完成预测和决策，模型更新则利用后续积累的数据改善未来判断。对实现而言，需要分别管理数据记录、模型更新和播放时推理，避免训练开销影响正在进行的播放。</w:t>
      </w:r>
    </w:p>
    <w:p w14:paraId="01AA4841">
      <w:pPr>
        <w:bidi w:val="0"/>
        <w:ind w:firstLine="420" w:firstLineChars="0"/>
      </w:pPr>
      <w:r>
        <w:t>第四，实际控制对象是播放器下载的内容版本，最终效果需要通过播放行为来检验。模型输出吞吐量估计，播放器依据该结果选择分片。可以用一个简化例子理解：若视频码率为 6 Mbps，而网络长期只能提供 4 Mbps，视频数据的消耗速度就高于补充速度，缓冲会逐渐减少，最终可能发生卡顿；选择较低码率则可能维持连续播放。但如果网络本来能够支持更高码率，长期保守选择又会损失画质。因此，优化目标应同时考虑连续播放与视频质量，不能只追求更高码率或更小预测误差。上述数值是解释机制的示例，并非专利实验结果。</w:t>
      </w:r>
    </w:p>
    <w:p w14:paraId="3A7D9B3A">
      <w:pPr>
        <w:bidi w:val="0"/>
        <w:rPr>
          <w:b/>
          <w:bCs/>
        </w:rPr>
      </w:pPr>
      <w:r>
        <w:rPr>
          <w:b/>
          <w:bCs/>
        </w:rPr>
        <w:t>（3）研究启示、成熟度与应用思路</w:t>
      </w:r>
    </w:p>
    <w:p w14:paraId="0ABAE2AA">
      <w:pPr>
        <w:bidi w:val="0"/>
        <w:ind w:firstLine="420" w:firstLineChars="0"/>
      </w:pPr>
      <w:r>
        <w:t>研究启示是：AI 优化通信体验，需要打通“状态预测—应用决策—体验结果”这条链路。吞吐量预测是其中一个模块，播放器如何使用预测同样影响最终效果。即使模型的平均预测误差较小，如果它在网络突然恶化时持续高估，仍可能增加卡顿；如果它长期低估，也可能让用户一直观看较低质量的视频。因此，评估这类功能时，应分别回答两个问题：预测是否可靠，以及使用预测之后体验是否改善。</w:t>
      </w:r>
    </w:p>
    <w:p w14:paraId="301F1B3D">
      <w:pPr>
        <w:bidi w:val="0"/>
        <w:ind w:firstLine="420" w:firstLineChars="0"/>
      </w:pPr>
      <w:r>
        <w:t>应用思路可以落在可重复的网络条件与视频播放对照实验中。使用相同的视频内容、分片配置和网络变化轨迹，对比仅使用即时估计、仅使用模型预测以及融合两种估计的方案，并保持其他播放器策略一致。模型层记录预测误差、高估程度和变化后的响应速度；体验层记录首帧等待、卡顿次数与时长、平均视频码率及码率切换频率。这样能够判断收益来自预测本身，还是来自播放器决策方式。</w:t>
      </w:r>
    </w:p>
    <w:p w14:paraId="6412F61F">
      <w:pPr>
        <w:bidi w:val="0"/>
        <w:ind w:firstLine="420" w:firstLineChars="0"/>
      </w:pPr>
      <w:r>
        <w:t>场景设计应重点覆盖播放启动、稳定传输、吞吐量突降、网络恢复和进入陌生网络。尤其需要检查“历史经验失效”时的表现：例如历史数据对应空闲网络，测试时加入拥塞；或者历史数据主要来自某一类网络，测试时更换网络环境。测试中同步记录模型预测、即时估计、融合结果、实际吞吐量和最终选定码率，才能追溯问题发生在哪个环节。这些是根据方案提出的测试设计建议，具体合格门限仍需另行确定。</w:t>
      </w:r>
    </w:p>
    <w:p w14:paraId="05EDC3C6">
      <w:pPr>
        <w:bidi w:val="0"/>
        <w:ind w:firstLine="420" w:firstLineChars="0"/>
      </w:pPr>
      <w:r>
        <w:t>研究成熟度方面，公开文本给出了模块关系、运行流程和算法选项，但未提供可复现的数据集、代码或定量对照实验。它适合作为“终端利用 AI 辅助应用决策”的研究依据，现有材料尚不足以证明其在真实产品中的具体收益。其实现入口位于终端播放器和吞吐量估计模块，实验上可以先通过受控网络与数据回放验证，再进一步检查真实终端上的运行开销和播放效果。</w:t>
      </w:r>
    </w:p>
    <w:p w14:paraId="0AAF2A96">
      <w:pPr>
        <w:numPr>
          <w:ilvl w:val="0"/>
          <w:numId w:val="0"/>
        </w:numP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</w:pPr>
    </w:p>
    <w:p w14:paraId="5E322CA2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3</w:t>
      </w:r>
      <w:r>
        <w:t>、苹果专利：用强化学习调整业务流与无线承载的映射</w:t>
      </w:r>
    </w:p>
    <w:p w14:paraId="0B2A91E9">
      <w:pPr>
        <w:bidi w:val="0"/>
      </w:pPr>
      <w:r>
        <w:t xml:space="preserve">优先权日：2024-06-24；公开日：2026-01-02；国际申请公开文本，公开页面标注为待审。专利 WO2026000129A1 — </w:t>
      </w:r>
      <w:r>
        <w:fldChar w:fldCharType="begin"/>
      </w:r>
      <w:r>
        <w:instrText xml:space="preserve"> HYPERLINK "https://patents.google.com/patent/WO2026000129A1/en?utm_source=chatgpt.com" </w:instrText>
      </w:r>
      <w:r>
        <w:fldChar w:fldCharType="separate"/>
      </w:r>
      <w:r>
        <w:rPr>
          <w:rStyle w:val="10"/>
        </w:rPr>
        <w:t>Systems and methods for artificial intelligence/machine learning based quality of service flow to data radio bearer mapping design</w:t>
      </w:r>
      <w:r>
        <w:fldChar w:fldCharType="end"/>
      </w:r>
      <w:r>
        <w:t>。</w:t>
      </w:r>
    </w:p>
    <w:p w14:paraId="44358CE6">
      <w:pPr>
        <w:bidi w:val="0"/>
        <w:rPr>
          <w:b/>
          <w:bCs/>
        </w:rPr>
      </w:pPr>
      <w:r>
        <w:rPr>
          <w:b/>
          <w:bCs/>
        </w:rPr>
        <w:t>（1）技术概述</w:t>
      </w:r>
    </w:p>
    <w:p w14:paraId="7EADD59C">
      <w:pPr>
        <w:bidi w:val="0"/>
        <w:ind w:firstLine="420" w:firstLineChars="0"/>
      </w:pPr>
      <w:r>
        <w:t>这篇专利关注不同业务的数据应该通过哪个无线承载传输，才能更好地满足服务质量要求。理解这一问题，需要先区分两个概念：QoS 流描述数据需要怎样的服务，DRB 则承接这些数据在无线接口上的传输处理。例如，实时通话更关注时延，视频传输更关注持续吞吐量，不同业务需要获得相应的处理方式。</w:t>
      </w:r>
    </w:p>
    <w:p w14:paraId="1A1B025E">
      <w:pPr>
        <w:bidi w:val="0"/>
        <w:ind w:firstLine="420" w:firstLineChars="0"/>
      </w:pPr>
      <w:r>
        <w:t>在 5G 中，业务数据先被归入不同的服务质量流，即 QoS 流，再映射到数据无线承载 DRB。每个 QoS 流通过 QFI 标识；多个 QoS 流可以共用一个 DRB，也可以根据处理需求使用不同 DRB。映射由服务数据适配协议 SDAP 执行，标准已经支持通过网络配置等方式更新规则。因此，研究问题是如何根据业务需求和运行状态，作出更合适的映射选择。</w:t>
      </w:r>
    </w:p>
    <w:p w14:paraId="09F68B62">
      <w:pPr>
        <w:bidi w:val="0"/>
      </w:pPr>
      <w:r>
        <w:t>苹果提出利用 AI/ML 辅助映射，其中给出深度 Q 学习的实施方式：观察业务要求与承载状态，选择 QoS 流与 DRB 的对应关系，再利用实际 QoS 表现反馈改进模型。强化学习是专利中的一种实现选择，整篇还涉及其他映射与预测机制。</w:t>
      </w:r>
    </w:p>
    <w:p w14:paraId="467DD77B">
      <w:pPr>
        <w:bidi w:val="0"/>
        <w:rPr>
          <w:b/>
          <w:bCs/>
        </w:rPr>
      </w:pPr>
      <w:r>
        <w:rPr>
          <w:b/>
          <w:bCs/>
        </w:rPr>
        <w:t>（2）关键点</w:t>
      </w:r>
    </w:p>
    <w:p w14:paraId="48A3F86C">
      <w:pPr>
        <w:bidi w:val="0"/>
        <w:ind w:firstLine="420" w:firstLineChars="0"/>
      </w:pPr>
      <w:r>
        <w:t>第一，模型输出的是业务流与承载的对应关系，DRB 本身不是一条独立的物理通道。DRB 是无线协议栈中的逻辑承载，不同承载最终仍要使用无线资源完成传输。把某个业务换到另一个 DRB，并不自动意味着获得更大的带宽或更低的时延；收益取决于该承载对应的处理配置、排队情况及后续调度。因此，分析方案时需要把“映射改变”和“实际性能改善”连接起来，不能只看模型是否选择了一个新的承载。</w:t>
      </w:r>
    </w:p>
    <w:p w14:paraId="5FFE948C">
      <w:pPr>
        <w:bidi w:val="0"/>
      </w:pPr>
      <w:r>
        <w:t>可以用一个简化场景说明：终端同时进行实时通话和后台下载。如果两类数据共用某个承载，后台突发流量可能影响实时业务的排队。若系统具有合适的承载配置与调度支持，调整映射可能改善实时业务；但如果无线资源整体不足，仅改变映射也无法保证所有业务达标。这一例子说明的是可能的作用路径，并非专利已经验证的实验结果。</w:t>
      </w:r>
    </w:p>
    <w:p w14:paraId="3255A4AC">
      <w:pPr>
        <w:bidi w:val="0"/>
        <w:ind w:firstLine="420" w:firstLineChars="0"/>
      </w:pPr>
      <w:r>
        <w:t>第二，强化学习把映射选择组织成“状态—动作—反馈”的过程。专利的状态包含当前映射、QoS 要求以及承载历史测量、信道信息；动作是选择流与承载的连接关系；反馈来自吞吐量、时延等 QoS 测量。深度 Q 网络用于评估候选动作，图 17—19 展示了映射与交互学习示例。</w:t>
      </w:r>
    </w:p>
    <w:p w14:paraId="66B1867B">
      <w:pPr>
        <w:bidi w:val="0"/>
        <w:ind w:firstLine="420" w:firstLineChars="0"/>
      </w:pPr>
      <w:r>
        <w:t>这里的学习目标可以理解为：在某一运行状态下，哪一种映射更可能带来较好的后续表现。它不要求预先为每个状态标注唯一的“正确承载”，而是通过执行结果评价选择。不过，奖励提高是否意味着通信质量改善，取决于奖励如何定义。如果只强调总吞吐量，模型可能牺牲少量实时业务的时延；因此，评估时还需要检查每类业务的要求是否得到满足。</w:t>
      </w:r>
    </w:p>
    <w:p w14:paraId="50FC8C32">
      <w:pPr>
        <w:bidi w:val="0"/>
        <w:ind w:firstLine="420" w:firstLineChars="0"/>
      </w:pPr>
      <w:r>
        <w:t>第三，训练位置与实际执行位置需要分别理解。专利讨论终端训练、网络训练后下发，以及终端与网络共同训练等路径。在网络训练示例中，终端执行映射推理，网络参与模型启用与监测。这意味着“模型在网络侧训练”并不等于“每次映射都由远端服务器计算”。</w:t>
      </w:r>
    </w:p>
    <w:p w14:paraId="0D117D3A">
      <w:pPr>
        <w:bidi w:val="0"/>
      </w:pPr>
      <w:r>
        <w:t>从实现角度看，终端本地能够掌握自身业务状态，网络侧则更容易观察整体负载和其他终端的影响，两类信息具有互补性。终端生成的映射还必须与网络配置及协议处理协调，才能真正用于数据传输。因此，这项功能需要终端通信协议栈和网络侧配合，普通应用程序通常不能直接修改其承载映射。</w:t>
      </w:r>
    </w:p>
    <w:p w14:paraId="7E38156D">
      <w:pPr>
        <w:bidi w:val="0"/>
        <w:ind w:firstLine="420" w:firstLineChars="0"/>
      </w:pPr>
      <w:r>
        <w:t>第四，推理可以由状态变化触发，并且需要处理输入不足的情况。图 21 给出 QoS 变化、QoS 流或 DRB 建立与释放等触发条件；图 20 讨论缺少近期特征时向网络请求信息。专利也提出在模型不可用或条件不满足时使用固定映射。</w:t>
      </w:r>
    </w:p>
    <w:p w14:paraId="665D73D5">
      <w:pPr>
        <w:bidi w:val="0"/>
        <w:ind w:firstLine="420" w:firstLineChars="0"/>
      </w:pPr>
      <w:r>
        <w:t>这使测试对象从一次模型计算扩展到完整运行过程：新业务出现后能否及时获得输入，承载释放后是否还会选择失效对象，输入过期时是否产生错误判断，以及重新映射是否造成频繁切换。决策的有效性和执行过程的稳定性，需要与性能收益一起检查。</w:t>
      </w:r>
    </w:p>
    <w:p w14:paraId="6D48718D">
      <w:pPr>
        <w:bidi w:val="0"/>
        <w:rPr>
          <w:b/>
          <w:bCs/>
        </w:rPr>
      </w:pPr>
      <w:r>
        <w:rPr>
          <w:b/>
          <w:bCs/>
        </w:rPr>
        <w:t>（3）研究启示、成熟度与应用思路</w:t>
      </w:r>
    </w:p>
    <w:p w14:paraId="1E236CBD">
      <w:pPr>
        <w:bidi w:val="0"/>
        <w:ind w:firstLine="420" w:firstLineChars="0"/>
      </w:pPr>
      <w:r>
        <w:t>研究启示是：AI 优化通信体验可以进入协议栈内部的具体决策环节，通过调整数据的传输组织方式影响业务表现。上一篇吞吐量预测专利主要影响播放器选择下载哪个视频版本；这一篇则作用于 QoS 流与无线承载之间的映射。它因此提供了一个更细颗粒度的通信 AI 功能研究对象。</w:t>
      </w:r>
    </w:p>
    <w:p w14:paraId="79F4E45A">
      <w:pPr>
        <w:bidi w:val="0"/>
        <w:ind w:firstLine="420" w:firstLineChars="0"/>
      </w:pPr>
      <w:r>
        <w:t>相应的验收也应覆盖两个层面。首先检查映射是否合法且可执行，例如目标承载是否存在、是否符合允许的配置、终端与网络的处理是否一致；随后检查执行后是否满足业务要求，例如各业务的时延、丢包、吞吐量及达标比例。强化学习奖励可以用于训练和分析，但不能单独代替这些验收结果。</w:t>
      </w:r>
    </w:p>
    <w:p w14:paraId="442DCB79">
      <w:pPr>
        <w:bidi w:val="0"/>
        <w:ind w:firstLine="420" w:firstLineChars="0"/>
      </w:pPr>
      <w:r>
        <w:t>应用思路可以落在可控的多业务实验环境中：同时生成实时业务、视频业务和后台传输，设置不同负载与无线条件，对比基于配置规则的映射和 AI 映射。在保持其他协议参数及调度策略一致的条件下，记录每次映射、决策耗时、业务性能和重映射次数。随后加入新业务突发、承载释放、测量缺失及模型不可用等情况，检查恢复或回退是否正常。这样能够区分收益来自映射算法，还是来自同时改变了调度配置等其他因素。这些是据此提出的实验设计，具体指标与通过门限仍需另行确定。</w:t>
      </w:r>
    </w:p>
    <w:p w14:paraId="075D9D01">
      <w:pPr>
        <w:bidi w:val="0"/>
        <w:ind w:firstLine="420" w:firstLineChars="0"/>
      </w:pPr>
      <w:r>
        <w:t>研究成熟度方面，公开文本给出了模型交互、映射决策和触发流程，但没有提供可复现的代码、数据集或定量对照实验。它适合作为 AI 辅助无线承载管理的方案依据，现有材料不足以证明其实际性能收益或商用部署情况。开展验证需要能够观察并控制协议栈中的映射行为，还应结合 SDAP、RRC 等相关要求核查执行过程；专利提出的 AI 交互机制本身不能直接视为已经被标准采用。</w:t>
      </w:r>
    </w:p>
    <w:p w14:paraId="20DF385C">
      <w:pPr>
        <w:numPr>
          <w:ilvl w:val="0"/>
          <w:numId w:val="0"/>
        </w:numP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</w:pPr>
    </w:p>
    <w:p w14:paraId="42E033E7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4</w:t>
      </w:r>
      <w:r>
        <w:t>、苹果专利：预测未来无线测量，改善切换决策</w:t>
      </w:r>
    </w:p>
    <w:p w14:paraId="3407C28E">
      <w:pPr>
        <w:bidi w:val="0"/>
      </w:pPr>
      <w:r>
        <w:t xml:space="preserve">优先权日：2023-09-01；公开日：2025-03-06；国际申请公开文本，公开页面标注为待审。专利 WO2025043703A1 — </w:t>
      </w:r>
      <w:r>
        <w:fldChar w:fldCharType="begin"/>
      </w:r>
      <w:r>
        <w:instrText xml:space="preserve"> HYPERLINK "https://patents.google.com/patent/WO2025043703A1/en?utm_source=chatgpt.com" </w:instrText>
      </w:r>
      <w:r>
        <w:fldChar w:fldCharType="separate"/>
      </w:r>
      <w:r>
        <w:rPr>
          <w:rStyle w:val="10"/>
        </w:rPr>
        <w:t>Systems and methods for predictive measurements for artificial intelligence/machine learning based mobility enhancement</w:t>
      </w:r>
      <w:r>
        <w:fldChar w:fldCharType="end"/>
      </w:r>
      <w:r>
        <w:t>。</w:t>
      </w:r>
      <w:r>
        <w:fldChar w:fldCharType="begin"/>
      </w:r>
      <w:r>
        <w:instrText xml:space="preserve"> HYPERLINK "https://patents.google.com/patent/WO2025043703A1/en?utm_source=chatgpt.com" </w:instrText>
      </w:r>
      <w:r>
        <w:fldChar w:fldCharType="separate"/>
      </w:r>
      <w:r>
        <w:rPr>
          <w:rStyle w:val="10"/>
        </w:rPr>
        <w:t>Google Patents</w:t>
      </w:r>
      <w:r>
        <w:fldChar w:fldCharType="end"/>
      </w:r>
    </w:p>
    <w:p w14:paraId="2DB58592">
      <w:pPr>
        <w:bidi w:val="0"/>
        <w:rPr>
          <w:b/>
          <w:bCs/>
        </w:rPr>
      </w:pPr>
      <w:r>
        <w:rPr>
          <w:b/>
          <w:bCs/>
        </w:rPr>
        <w:t>（1）技术概述</w:t>
      </w:r>
    </w:p>
    <w:p w14:paraId="0C54D23E">
      <w:pPr>
        <w:bidi w:val="0"/>
        <w:ind w:firstLine="420" w:firstLineChars="0"/>
      </w:pPr>
      <w:r>
        <w:t>这篇专利关注终端能否利用无线测量预测，提前为小区切换作准备，并改善切换时机的判断。手机移动时，当前服务小区的信号可能逐渐减弱，邻近小区则可能变得更适合提供服务。切换需要经过测量、条件判断和执行等环节；如果无线状态变化很快，依据已有观测作出的判断，到执行时可能已经不再合适。</w:t>
      </w:r>
    </w:p>
    <w:p w14:paraId="333AC381">
      <w:pPr>
        <w:bidi w:val="0"/>
        <w:ind w:firstLine="420" w:firstLineChars="0"/>
      </w:pPr>
      <w:r>
        <w:t>苹果提出将 AI 预测引入移动性管理：利用已有测量生成预测，将预测提供给切换相关流程，同时通过对应的实际测量检查模型可靠性。原文涉及物理层 L1 测量和用于移动性判断的 L3 测量，也讨论模型监测与停用。</w:t>
      </w:r>
    </w:p>
    <w:p w14:paraId="2B5A8C6B">
      <w:pPr>
        <w:bidi w:val="0"/>
        <w:ind w:firstLine="420" w:firstLineChars="0"/>
      </w:pPr>
      <w:r>
        <w:t>其作用可以通过一个移动场景理解：车辆正在驶离小区 A，进入小区 B 的覆盖区域。如果预测显示 A 的信号将持续减弱、B 将持续增强，系统就可能提前考虑 B；但若变化只是短时波动，过早切换又可能造成不必要的操作。因此，方案的核心是让预测参与准备和判断，并管理预测失准带来的风险。</w:t>
      </w:r>
    </w:p>
    <w:p w14:paraId="28EBB831">
      <w:pPr>
        <w:bidi w:val="0"/>
        <w:rPr>
          <w:b/>
          <w:bCs/>
        </w:rPr>
      </w:pPr>
      <w:r>
        <w:rPr>
          <w:b/>
          <w:bCs/>
        </w:rPr>
        <w:t>（2）关键点</w:t>
      </w:r>
    </w:p>
    <w:p w14:paraId="3B0DC708">
      <w:pPr>
        <w:bidi w:val="0"/>
        <w:ind w:firstLine="420" w:firstLineChars="0"/>
      </w:pPr>
      <w:r>
        <w:t>第一，需要区分“预测未来”与“推断未测对象”，两者使用的信息和验证方式不同。专利同时讨论时间预测和空间预测：前者利用已有测量预测后续时刻，后者利用邻近波束信息推断另一波束的测量。图 12、图 13 分别展示这两类机制。</w:t>
      </w:r>
    </w:p>
    <w:p w14:paraId="4C19754A">
      <w:pPr>
        <w:bidi w:val="0"/>
        <w:ind w:firstLine="420" w:firstLineChars="0"/>
      </w:pPr>
      <w:r>
        <w:t>时间预测回答的是“这个小区或波束过一段时间会怎样”，需要在对应时刻到来后检查预测；空间预测回答的是“另一个波束目前可能怎样”，需要获取该对象的实际测量进行比较。测试时必须保留预测对象和预测时间，不能把不同小区、不同波束或不同时间的结果混在一起计算误差。</w:t>
      </w:r>
    </w:p>
    <w:p w14:paraId="127F4E73">
      <w:pPr>
        <w:bidi w:val="0"/>
        <w:ind w:firstLine="420" w:firstLineChars="0"/>
      </w:pPr>
      <w:r>
        <w:t>第二，预测值能否参与切换，由配置的使用规则决定。以条件切换 CHO 为例，网络先提供候选小区及执行条件，终端在条件满足后执行切换，这是标准中的基本关系。苹果进一步提出允许可靠的预测值参与条件判断，也给出要求预测与实际测量共同满足条件的方式，相关流程见图 19。</w:t>
      </w:r>
    </w:p>
    <w:p w14:paraId="0EF3A9F5">
      <w:pPr>
        <w:bidi w:val="0"/>
        <w:ind w:firstLine="420" w:firstLineChars="0"/>
      </w:pPr>
      <w:r>
        <w:t>两种方式体现了不同的取舍：更积极地使用预测，可能获得提前行动的机会，也更依赖模型可靠性；同时要求实际测量确认，则可能减少错误触发，但提前量也可能缩小。因此，模型预测得准不准，与切换规则如何使用预测，是两个需要分别验证的环节。预测小区 B 将变好，也不意味着终端可以忽略 B 当前是否具备接入条件。</w:t>
      </w:r>
    </w:p>
    <w:p w14:paraId="2C7FEA8F">
      <w:pPr>
        <w:bidi w:val="0"/>
        <w:ind w:firstLine="420" w:firstLineChars="0"/>
      </w:pPr>
      <w:r>
        <w:t>第三，预测可靠性通过实际观测检查，并与模型使用状态关联。专利提出比较预测和对应实测结果，以均方误差 MSE 等指标进行监测；根据结果，可停止或切换模型，并回到实际测量方式。</w:t>
      </w:r>
    </w:p>
    <w:p w14:paraId="436CCEA1">
      <w:pPr>
        <w:bidi w:val="0"/>
        <w:ind w:firstLine="420" w:firstLineChars="0"/>
      </w:pPr>
      <w:r>
        <w:t>这里尤其需要注意验证的时间关系。例如，模型在某一时刻预测“100 毫秒后的信号强度”，就应与 100 毫秒后该对象的实际结果比较，而不是与预测生成时的测量比较。这是解释验证原则的示例，并非专利规定的预测窗口。尚未发生的未来没有实时真值，已完成预测的验证结果只能为后续使用提供可靠性依据。同时，MSE 是误差指标，不能直接当作“预测正确的概率”。</w:t>
      </w:r>
    </w:p>
    <w:p w14:paraId="22AF9B06">
      <w:pPr>
        <w:bidi w:val="0"/>
        <w:ind w:firstLine="420" w:firstLineChars="0"/>
      </w:pPr>
      <w:r>
        <w:t>第四，减少测量与保持可验证性之间需要取得平衡。原文提出利用预测减少部分实际测量或测量间隙的设想，同时保留实际测量用于监测。从系统设计角度看，预测可以帮助决定哪些对象值得优先测量，但实际观测仍是发现模型失准的重要依据。</w:t>
      </w:r>
    </w:p>
    <w:p w14:paraId="372016A2">
      <w:pPr>
        <w:bidi w:val="0"/>
      </w:pPr>
      <w:r>
        <w:t>如果实际测量减少得过多，系统可能很难及时识别预测偏差；如果为了验证模型又增加大量测量，预期的开销收益也可能被抵消。评估因此应同时记录预测误差、实际测量开销和失准后的发现时间，检查性能与成本之间的关系，而不能只统计预测模块的准确率。</w:t>
      </w:r>
    </w:p>
    <w:p w14:paraId="14E088BE">
      <w:pPr>
        <w:bidi w:val="0"/>
        <w:rPr>
          <w:b/>
          <w:bCs/>
        </w:rPr>
      </w:pPr>
      <w:r>
        <w:rPr>
          <w:b/>
          <w:bCs/>
        </w:rPr>
        <w:t>（3）研究启示、成熟度与应用思路</w:t>
      </w:r>
    </w:p>
    <w:p w14:paraId="4E5739C3">
      <w:pPr>
        <w:bidi w:val="0"/>
        <w:ind w:firstLine="420" w:firstLineChars="0"/>
      </w:pPr>
      <w:r>
        <w:t>研究启示是：通信 AI 可以通过预测改善测量与控制之间的时间关系，但其价值最终应落实到切换效果和通信连续性上。预测误差较小，并不保证切换成功：目标小区准备、接入过程及条件配置也会影响结果。反过来，即使总体平均误差尚可，若误差集中发生在切换门限附近，也可能显著改变触发时机。因此，应重点检查对决策敏感的时段和场景。</w:t>
      </w:r>
    </w:p>
    <w:p w14:paraId="4BD0222A">
      <w:pPr>
        <w:bidi w:val="0"/>
        <w:ind w:firstLine="420" w:firstLineChars="0"/>
      </w:pPr>
      <w:r>
        <w:t>应用思路可以落在可重复的小区或波束变化实验中。使用相同的移动与信道轨迹，对比依据实际测量的方案和引入预测的方案，并保持其他切换参数一致。模型层检查不同预测窗口下的误差、目标对象排序及可靠性判断；功能层检查切换成功率、无线链路失败、业务中断时间和往返切换情况。把两层结果关联起来，才能判断问题发生在预测、条件判断还是执行阶段。</w:t>
      </w:r>
    </w:p>
    <w:p w14:paraId="6338527D">
      <w:pPr>
        <w:bidi w:val="0"/>
        <w:ind w:firstLine="420" w:firstLineChars="0"/>
      </w:pPr>
      <w:r>
        <w:t>场景应覆盖持续移动、突然遮挡、运动方向改变和短时信号波动，并加入模型失准或输入缺失的情况。实验中同步记录预测生成时间、对应目标时间、实际测量、条件满足时刻及切换结果，还应检查停用预测后能否恢复正常测量与切换。上述指标和场景是据此提出的测试设计，具体通过门限需要结合功能要求另行确定。</w:t>
      </w:r>
    </w:p>
    <w:p w14:paraId="1DA0E201">
      <w:pPr>
        <w:bidi w:val="0"/>
        <w:ind w:firstLine="420" w:firstLineChars="0"/>
      </w:pPr>
      <w:r>
        <w:t>研究成熟度方面，公开文本给出了终端与网络交互、预测使用和模型监测的实施方式，但未提供可复现的代码、数据集或定量对照实验。</w:t>
      </w:r>
      <w:r>
        <w:rPr>
          <w:rFonts w:hint="eastAsia"/>
          <w:lang w:eastAsia="zh-CN"/>
        </w:rPr>
        <w:t>、</w:t>
      </w:r>
      <w:r>
        <w:t>它适合作为预测辅助移动性管理及其验证机制的研究依据，现有材料不足以证明实际商用收益。实现验证需要能够获取对应无线测量、控制预测使用方式，并观察切换全过程；专利提出的预测触发与模型管理流程，也不能直接等同于已被标准采用。</w:t>
      </w:r>
    </w:p>
    <w:p w14:paraId="79D6E69D">
      <w:pPr>
        <w:numPr>
          <w:ilvl w:val="0"/>
          <w:numId w:val="0"/>
        </w:numP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</w:pPr>
    </w:p>
    <w:p w14:paraId="13E381BF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color w:val="000000"/>
          <w:u w:val="none"/>
          <w:lang w:val="en-US" w:eastAsia="zh"/>
          <w:woUserID w:val="1"/>
        </w:rPr>
      </w:pPr>
      <w:r>
        <w:rPr>
          <w:rFonts w:hint="eastAsia"/>
          <w:color w:val="000000"/>
          <w:u w:val="none"/>
          <w:lang w:val="en-US" w:eastAsia="zh"/>
          <w:woUserID w:val="1"/>
        </w:rPr>
        <w:t>通信的AI功能测试验收系统</w:t>
      </w:r>
    </w:p>
    <w:p w14:paraId="623F6519">
      <w:pPr>
        <w:pStyle w:val="3"/>
        <w:numPr>
          <w:ilvl w:val="0"/>
          <w:numId w:val="2"/>
        </w:numPr>
        <w:bidi w:val="0"/>
        <w:ind w:leftChars="0"/>
        <w:rPr>
          <w:rFonts w:ascii="宋体" w:hAnsi="宋体" w:eastAsia="宋体" w:cs="宋体"/>
          <w:woUserID w:val="1"/>
        </w:rPr>
      </w:pPr>
      <w:r>
        <w:rPr>
          <w:rFonts w:ascii="宋体" w:hAnsi="宋体" w:eastAsia="宋体" w:cs="宋体"/>
          <w:woUserID w:val="1"/>
        </w:rPr>
        <w:t>苹果专利：新模型加入后，验证整个模型组合</w:t>
      </w:r>
    </w:p>
    <w:p w14:paraId="0F48DEDA">
      <w:pPr>
        <w:keepNext w:val="0"/>
        <w:keepLines w:val="0"/>
        <w:widowControl/>
        <w:suppressLineNumbers w:val="0"/>
        <w:bidi w:val="0"/>
        <w:rPr>
          <w:woUserID w:val="1"/>
        </w:rPr>
      </w:pPr>
      <w:r>
        <w:rPr>
          <w:woUserID w:val="1"/>
        </w:rPr>
        <w:t>优先权日：2024-09-24；国际申请公开日：2026-04-02。申请人：Apple Inc.；Google Patents 当前标注为申请待审。</w:t>
      </w:r>
    </w:p>
    <w:p w14:paraId="03D18B05">
      <w:pPr>
        <w:keepNext w:val="0"/>
        <w:keepLines w:val="0"/>
        <w:widowControl/>
        <w:suppressLineNumbers w:val="0"/>
        <w:bidi w:val="0"/>
        <w:rPr>
          <w:woUserID w:val="1"/>
        </w:rPr>
      </w:pPr>
      <w:r>
        <w:rPr>
          <w:woUserID w:val="1"/>
        </w:rPr>
        <w:t xml:space="preserve">专利 WO2026072237A1 — </w:t>
      </w:r>
      <w:r>
        <w:rPr>
          <w:woUserID w:val="1"/>
        </w:rPr>
        <w:fldChar w:fldCharType="begin"/>
      </w:r>
      <w:r>
        <w:rPr>
          <w:woUserID w:val="1"/>
        </w:rPr>
        <w:instrText xml:space="preserve"> HYPERLINK "https://patents.google.com/patent/WO2026072237A1/en?utm_source=chatgpt.com" </w:instrText>
      </w:r>
      <w:r>
        <w:rPr>
          <w:woUserID w:val="1"/>
        </w:rPr>
        <w:fldChar w:fldCharType="separate"/>
      </w:r>
      <w:r>
        <w:rPr>
          <w:rStyle w:val="10"/>
          <w:woUserID w:val="1"/>
        </w:rPr>
        <w:t>Systems and methods for artificial intelligence/machine learning model group validation（人工智能／机器学习模型组合验证系统与方法）</w:t>
      </w:r>
      <w:r>
        <w:rPr>
          <w:woUserID w:val="1"/>
        </w:rPr>
        <w:fldChar w:fldCharType="end"/>
      </w:r>
      <w:r>
        <w:rPr>
          <w:woUserID w:val="1"/>
        </w:rPr>
        <w:t>。</w:t>
      </w:r>
    </w:p>
    <w:p w14:paraId="2E60A7C5">
      <w:pPr>
        <w:numPr>
          <w:numId w:val="0"/>
        </w:numPr>
        <w:rPr>
          <w:rFonts w:hint="eastAsia"/>
          <w:b/>
          <w:bCs/>
          <w:lang w:val="en-US" w:eastAsia="zh"/>
          <w:woUserID w:val="1"/>
        </w:rPr>
      </w:pPr>
      <w:r>
        <w:rPr>
          <w:rFonts w:hint="eastAsia"/>
          <w:b/>
          <w:bCs/>
          <w:lang w:val="en-US" w:eastAsia="zh"/>
          <w:woUserID w:val="1"/>
        </w:rPr>
        <w:t>（1）技术概述</w:t>
      </w:r>
    </w:p>
    <w:p w14:paraId="16410B4D">
      <w:pPr>
        <w:numPr>
          <w:numId w:val="0"/>
        </w:numPr>
        <w:ind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这篇专利关注终端使用多个通信 AI 模型时的整体可靠性。一个新模型单独测试合格，并不能保证它加入现有模型组合后，整个通信功能仍然合格。因此，苹果提出在模型正式使用前增加组合测试，并在投入使用后继续监测组合表现。</w:t>
      </w:r>
    </w:p>
    <w:p w14:paraId="3E2193FB">
      <w:pPr>
        <w:numPr>
          <w:numId w:val="0"/>
        </w:numPr>
        <w:ind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这里的“模型组合”可以包含多种关系：前一个模型的输出成为后一个模型的输入；一个模型决定后续选择哪个模型；或者多个模型共同完成受时延、功耗等要求约束的任务。图 3 举出了终端中的信道状态信息（CSI）、波束管理和定位模型。组合验证既要关注模型之间的功能关联，也要关注它们运行时的整体资源需求。</w:t>
      </w:r>
    </w:p>
    <w:p w14:paraId="72FD444D">
      <w:pPr>
        <w:numPr>
          <w:numId w:val="0"/>
        </w:numPr>
        <w:ind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为便于理解，可以设想：一个模型负责判断当前无线环境，再据此选择另一个预测模型。即使第二个模型本身预测准确，前面的环境判断出现错误，也可能让整条链路失效。这个例子用于解释组合测试的必要性，并非专利提供的实验结果。</w:t>
      </w:r>
    </w:p>
    <w:p w14:paraId="026D4FF4">
      <w:pPr>
        <w:numPr>
          <w:numId w:val="0"/>
        </w:numPr>
        <w:ind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专利的主要流程是：提交候选模型，在相关模型组合中开展测试，对照基线判断是否允许使用；通过后更新允许模型列表；运行期间继续监测，出现退化则进一步定位问题，并采取回退或更新措施。它同时描述了服务器组织验证和终端自行验证的实施方式。输入与输出需要分成两个层面理解：</w:t>
      </w:r>
    </w:p>
    <w:tbl>
      <w:tblPr>
        <w:tblW w:w="5000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7"/>
        <w:gridCol w:w="4237"/>
        <w:gridCol w:w="2582"/>
      </w:tblGrid>
      <w:tr w14:paraId="731FA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912" w:type="pct"/>
            <w:shd w:val="clear"/>
            <w:vAlign w:val="center"/>
          </w:tcPr>
          <w:p w14:paraId="68495652">
            <w:pPr>
              <w:numPr>
                <w:numId w:val="0"/>
              </w:numPr>
              <w:rPr>
                <w:rFonts w:hint="eastAsia"/>
                <w:lang w:val="en-US" w:eastAsia="zh"/>
                <w:woUserID w:val="1"/>
              </w:rPr>
            </w:pPr>
            <w:r>
              <w:rPr>
                <w:rFonts w:hint="eastAsia"/>
                <w:lang w:val="en-US" w:eastAsia="zh"/>
                <w:woUserID w:val="1"/>
              </w:rPr>
              <w:t>层面</w:t>
            </w:r>
          </w:p>
        </w:tc>
        <w:tc>
          <w:tcPr>
            <w:tcW w:w="2504" w:type="pct"/>
            <w:shd w:val="clear"/>
            <w:vAlign w:val="center"/>
          </w:tcPr>
          <w:p w14:paraId="6E563638">
            <w:pPr>
              <w:numPr>
                <w:numId w:val="0"/>
              </w:numPr>
              <w:rPr>
                <w:rFonts w:hint="eastAsia"/>
                <w:lang w:val="en-US" w:eastAsia="zh"/>
                <w:woUserID w:val="1"/>
              </w:rPr>
            </w:pPr>
            <w:r>
              <w:rPr>
                <w:rFonts w:hint="eastAsia"/>
                <w:lang w:val="en-US" w:eastAsia="zh"/>
                <w:woUserID w:val="1"/>
              </w:rPr>
              <w:t>输入</w:t>
            </w:r>
          </w:p>
        </w:tc>
        <w:tc>
          <w:tcPr>
            <w:tcW w:w="1510" w:type="pct"/>
            <w:shd w:val="clear"/>
            <w:vAlign w:val="center"/>
          </w:tcPr>
          <w:p w14:paraId="40A0D56E">
            <w:pPr>
              <w:numPr>
                <w:numId w:val="0"/>
              </w:numPr>
              <w:rPr>
                <w:rFonts w:hint="eastAsia"/>
                <w:lang w:val="en-US" w:eastAsia="zh"/>
                <w:woUserID w:val="1"/>
              </w:rPr>
            </w:pPr>
            <w:r>
              <w:rPr>
                <w:rFonts w:hint="eastAsia"/>
                <w:lang w:val="en-US" w:eastAsia="zh"/>
                <w:woUserID w:val="1"/>
              </w:rPr>
              <w:t>输出及用途</w:t>
            </w:r>
          </w:p>
        </w:tc>
      </w:tr>
      <w:tr w14:paraId="519A05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12" w:type="pct"/>
            <w:shd w:val="clear"/>
            <w:vAlign w:val="center"/>
          </w:tcPr>
          <w:p w14:paraId="556F9426">
            <w:pPr>
              <w:numPr>
                <w:numId w:val="0"/>
              </w:numPr>
              <w:rPr>
                <w:rFonts w:hint="eastAsia"/>
                <w:lang w:val="en-US" w:eastAsia="zh"/>
                <w:woUserID w:val="1"/>
              </w:rPr>
            </w:pPr>
            <w:r>
              <w:rPr>
                <w:rFonts w:hint="eastAsia"/>
                <w:lang w:val="en-US" w:eastAsia="zh"/>
                <w:woUserID w:val="1"/>
              </w:rPr>
              <w:t>通信模型运行</w:t>
            </w:r>
          </w:p>
        </w:tc>
        <w:tc>
          <w:tcPr>
            <w:tcW w:w="2504" w:type="pct"/>
            <w:shd w:val="clear"/>
            <w:vAlign w:val="center"/>
          </w:tcPr>
          <w:p w14:paraId="24A97EC9">
            <w:pPr>
              <w:numPr>
                <w:numId w:val="0"/>
              </w:numPr>
              <w:rPr>
                <w:rFonts w:hint="eastAsia"/>
                <w:lang w:val="en-US" w:eastAsia="zh"/>
                <w:woUserID w:val="1"/>
              </w:rPr>
            </w:pPr>
            <w:r>
              <w:rPr>
                <w:rFonts w:hint="eastAsia"/>
                <w:lang w:val="en-US" w:eastAsia="zh"/>
                <w:woUserID w:val="1"/>
              </w:rPr>
              <w:t>对应通信功能的测量或状态，以及组合中其他模型提供的信息；具体内容取决于模型任务</w:t>
            </w:r>
          </w:p>
        </w:tc>
        <w:tc>
          <w:tcPr>
            <w:tcW w:w="1510" w:type="pct"/>
            <w:shd w:val="clear"/>
            <w:vAlign w:val="center"/>
          </w:tcPr>
          <w:p w14:paraId="03B0B7C7">
            <w:pPr>
              <w:numPr>
                <w:numId w:val="0"/>
              </w:numPr>
              <w:rPr>
                <w:rFonts w:hint="eastAsia"/>
                <w:lang w:val="en-US" w:eastAsia="zh"/>
                <w:woUserID w:val="1"/>
              </w:rPr>
            </w:pPr>
            <w:r>
              <w:rPr>
                <w:rFonts w:hint="eastAsia"/>
                <w:lang w:val="en-US" w:eastAsia="zh"/>
                <w:woUserID w:val="1"/>
              </w:rPr>
              <w:t>单个模型或模型组合的推理结果，供通信功能使用</w:t>
            </w:r>
          </w:p>
        </w:tc>
      </w:tr>
      <w:tr w14:paraId="122127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12" w:type="pct"/>
            <w:shd w:val="clear"/>
            <w:vAlign w:val="center"/>
          </w:tcPr>
          <w:p w14:paraId="5C9A5B41">
            <w:pPr>
              <w:numPr>
                <w:numId w:val="0"/>
              </w:numPr>
              <w:rPr>
                <w:rFonts w:hint="eastAsia"/>
                <w:lang w:val="en-US" w:eastAsia="zh"/>
                <w:woUserID w:val="1"/>
              </w:rPr>
            </w:pPr>
            <w:r>
              <w:rPr>
                <w:rFonts w:hint="eastAsia"/>
                <w:lang w:val="en-US" w:eastAsia="zh"/>
                <w:woUserID w:val="1"/>
              </w:rPr>
              <w:t>组合测试与验收</w:t>
            </w:r>
          </w:p>
        </w:tc>
        <w:tc>
          <w:tcPr>
            <w:tcW w:w="2504" w:type="pct"/>
            <w:shd w:val="clear"/>
            <w:vAlign w:val="center"/>
          </w:tcPr>
          <w:p w14:paraId="568975A0">
            <w:pPr>
              <w:numPr>
                <w:numId w:val="0"/>
              </w:numPr>
              <w:rPr>
                <w:rFonts w:hint="eastAsia"/>
                <w:lang w:val="en-US" w:eastAsia="zh"/>
                <w:woUserID w:val="1"/>
              </w:rPr>
            </w:pPr>
            <w:r>
              <w:rPr>
                <w:rFonts w:hint="eastAsia"/>
                <w:lang w:val="en-US" w:eastAsia="zh"/>
                <w:woUserID w:val="1"/>
              </w:rPr>
              <w:t>待加入或更新的模型、相关模型组合、代表性测试场景、基线结果及评价要求</w:t>
            </w:r>
          </w:p>
        </w:tc>
        <w:tc>
          <w:tcPr>
            <w:tcW w:w="1510" w:type="pct"/>
            <w:shd w:val="clear"/>
            <w:vAlign w:val="center"/>
          </w:tcPr>
          <w:p w14:paraId="2642FDC0">
            <w:pPr>
              <w:numPr>
                <w:numId w:val="0"/>
              </w:numPr>
              <w:rPr>
                <w:rFonts w:hint="eastAsia"/>
                <w:lang w:val="en-US" w:eastAsia="zh"/>
                <w:woUserID w:val="1"/>
              </w:rPr>
            </w:pPr>
            <w:r>
              <w:rPr>
                <w:rFonts w:hint="eastAsia"/>
                <w:lang w:val="en-US" w:eastAsia="zh"/>
                <w:woUserID w:val="1"/>
              </w:rPr>
              <w:t>组合测试结果，以及批准或拒绝使用的决定</w:t>
            </w:r>
          </w:p>
        </w:tc>
      </w:tr>
      <w:tr w14:paraId="33D661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12" w:type="pct"/>
            <w:shd w:val="clear"/>
            <w:vAlign w:val="center"/>
          </w:tcPr>
          <w:p w14:paraId="0C28B4D9">
            <w:pPr>
              <w:numPr>
                <w:numId w:val="0"/>
              </w:numPr>
              <w:rPr>
                <w:rFonts w:hint="eastAsia"/>
                <w:lang w:val="en-US" w:eastAsia="zh"/>
                <w:woUserID w:val="1"/>
              </w:rPr>
            </w:pPr>
            <w:r>
              <w:rPr>
                <w:rFonts w:hint="eastAsia"/>
                <w:lang w:val="en-US" w:eastAsia="zh"/>
                <w:woUserID w:val="1"/>
              </w:rPr>
              <w:t>部署后管理</w:t>
            </w:r>
          </w:p>
        </w:tc>
        <w:tc>
          <w:tcPr>
            <w:tcW w:w="2504" w:type="pct"/>
            <w:shd w:val="clear"/>
            <w:vAlign w:val="center"/>
          </w:tcPr>
          <w:p w14:paraId="340014EB">
            <w:pPr>
              <w:numPr>
                <w:numId w:val="0"/>
              </w:numPr>
              <w:rPr>
                <w:rFonts w:hint="eastAsia"/>
                <w:lang w:val="en-US" w:eastAsia="zh"/>
                <w:woUserID w:val="1"/>
              </w:rPr>
            </w:pPr>
            <w:r>
              <w:rPr>
                <w:rFonts w:hint="eastAsia"/>
                <w:lang w:val="en-US" w:eastAsia="zh"/>
                <w:woUserID w:val="1"/>
              </w:rPr>
              <w:t>组合运行表现、异常事件、模型身份和版本等信息</w:t>
            </w:r>
          </w:p>
        </w:tc>
        <w:tc>
          <w:tcPr>
            <w:tcW w:w="1510" w:type="pct"/>
            <w:shd w:val="clear"/>
            <w:vAlign w:val="center"/>
          </w:tcPr>
          <w:p w14:paraId="191049F1">
            <w:pPr>
              <w:numPr>
                <w:numId w:val="0"/>
              </w:numPr>
              <w:rPr>
                <w:rFonts w:hint="eastAsia"/>
                <w:lang w:val="en-US" w:eastAsia="zh"/>
                <w:woUserID w:val="1"/>
              </w:rPr>
            </w:pPr>
            <w:r>
              <w:rPr>
                <w:rFonts w:hint="eastAsia"/>
                <w:lang w:val="en-US" w:eastAsia="zh"/>
                <w:woUserID w:val="1"/>
              </w:rPr>
              <w:t>更新允许列表，或触发回退、替换、重新训练等处理</w:t>
            </w:r>
          </w:p>
        </w:tc>
      </w:tr>
    </w:tbl>
    <w:p w14:paraId="327F357B">
      <w:pPr>
        <w:numPr>
          <w:numId w:val="0"/>
        </w:numPr>
        <w:ind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测试系统的最终输出包含“是否允许这个模型在指定条件下使用”的管理决定。专利并未为所有通信模型规定统一的推理输入和输出接口。</w:t>
      </w:r>
    </w:p>
    <w:p w14:paraId="585B3F09">
      <w:pPr>
        <w:numPr>
          <w:numId w:val="0"/>
        </w:numPr>
        <w:rPr>
          <w:rFonts w:hint="eastAsia"/>
          <w:b/>
          <w:bCs/>
          <w:lang w:val="en-US" w:eastAsia="zh"/>
          <w:woUserID w:val="1"/>
        </w:rPr>
      </w:pPr>
      <w:r>
        <w:rPr>
          <w:rFonts w:hint="eastAsia"/>
          <w:b/>
          <w:bCs/>
          <w:lang w:val="en-US" w:eastAsia="zh"/>
          <w:woUserID w:val="1"/>
        </w:rPr>
        <w:t>（2）关键点</w:t>
      </w:r>
    </w:p>
    <w:p w14:paraId="7AFA7679">
      <w:pPr>
        <w:numPr>
          <w:numId w:val="0"/>
        </w:numPr>
        <w:ind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第一，验收对象是“新模型加入后的组合表现”，而非仅看新模型自身的准确率。模型可能来自不同厂商或不同训练实体，终端未必掌握其内部结构和训练过程，也未必能够将所有模型重新联合训练。专利因而考虑在这种条件下，通过组合测试检查它们能否共同工作。图 4 展示了串联、模型选择和共同推理等关联形式；图 5 则在模型生命周期中增加组合测试与组合监测环节。这对验收研究的意义是：模型单独表现改善，仍需检查改善能否传递到最终功能，以及是否对相关功能造成影响。测试边界应覆盖模型参与的实际链路。</w:t>
      </w:r>
    </w:p>
    <w:p w14:paraId="60117A6A">
      <w:pPr>
        <w:numPr>
          <w:numId w:val="0"/>
        </w:numPr>
        <w:ind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第二，核心方法是加入模型前后的对照回归测试。图 7 描述服务器在代表性场景中运行两组测试：一组不使用待测模型，建立基线；另一组将待测模型纳入组合，再比较关键性能指标。这里的“回归测试”指修改系统后重新运行测试，检查原有功能和性能是否仍然满足要求，并非统计学中的回归拟合。从实现角度看，这要求测试系统能够复现相同或可比较的输入条件，明确记录两次测试的模型配置。否则，结果差异可能来自场景变化，难以归因于模型更新。这是将专利机制落实为实验系统时需要补充的设计。</w:t>
      </w:r>
    </w:p>
    <w:p w14:paraId="60DD57F7">
      <w:pPr>
        <w:numPr>
          <w:numId w:val="0"/>
        </w:numPr>
        <w:ind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第三，合格判断同时考虑功能表现、功耗和计算资源，并允许预先定义权衡规则。专利列出了组合整体及特定功能的性能、功耗和计算资源检查。通过规则可由管理服务器设定：一种方式要求加入模型后指标保持相同或更好；另一种方式允许为了显著的性能改善，接受一定程度的功耗指标退化。原文提出了评价维度和规则选择，没有给出统一的数值门限。因此，实际研究中需要明确哪些指标是必须满足的约束，哪些指标可以权衡。例如，功能响应时限可以作为硬约束，功耗增加是否可接受则按实验目标另行规定。此处属于验收方案设计建议，不能写成专利已经规定的判据。</w:t>
      </w:r>
    </w:p>
    <w:p w14:paraId="12972D3E">
      <w:pPr>
        <w:numPr>
          <w:numId w:val="0"/>
        </w:numPr>
        <w:ind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第四，验证可以由服务器组织，也可以由终端执行，批准结果还可以附带适用条件。</w:t>
      </w:r>
    </w:p>
    <w:p w14:paraId="7EB7A686">
      <w:pPr>
        <w:numPr>
          <w:numId w:val="0"/>
        </w:num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服务器方案由网络侧提交模型，模型组合管理服务器测试并反馈结果，终端依据允许模型列表检查收到的模型。图 14 的终端方案则将新模型标记为“测试中”，由终端通过既有结果或设备内回归测试进行比较，通过后标记为已验证。批准可以限定设备类型、时间、地理位置或电量等条件。“验证通过”需要关联具体设备、模型配置和使用条件。在一组条件下合格，不宜直接推导为所有终端和所有场景下都可使用。服务器测试怎样准确反映目标终端的功耗和计算表现，也需要部署实现进一步交代。</w:t>
      </w:r>
    </w:p>
    <w:p w14:paraId="5C8BC55A">
      <w:pPr>
        <w:numPr>
          <w:numId w:val="0"/>
        </w:numPr>
        <w:ind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第五，部署后的监测、故障处理与模型版本管理构成后续闭环。图 10 描述周期性或事件触发的组合检查，事件例子包括切换时延异常和功耗异常增加。测试失败后进一步开展检查以定位原因，可采取恢复旧版本、退回传统代码或触发重新训练等措施。专利还提出模型依赖关系和身份、版本信息的表达方式，用于协调模型组合。原文给出了“发现退化—进一步定位—采取纠正动作”的流程，但没有给出完整的自动故障定位算法。因此，可以将它理解为系统设计框架，不能表述为已经解决了任意模型组合中的故障归因问题。</w:t>
      </w:r>
    </w:p>
    <w:p w14:paraId="7B74B092">
      <w:pPr>
        <w:numPr>
          <w:numId w:val="0"/>
        </w:numPr>
        <w:rPr>
          <w:rFonts w:hint="eastAsia"/>
          <w:b/>
          <w:bCs/>
          <w:lang w:val="en-US" w:eastAsia="zh"/>
          <w:woUserID w:val="1"/>
        </w:rPr>
      </w:pPr>
      <w:r>
        <w:rPr>
          <w:rFonts w:hint="eastAsia"/>
          <w:b/>
          <w:bCs/>
          <w:lang w:val="en-US" w:eastAsia="zh"/>
          <w:woUserID w:val="1"/>
        </w:rPr>
        <w:t>（3）研究启示、成熟度与应用思路</w:t>
      </w:r>
    </w:p>
    <w:p w14:paraId="4468EB7A">
      <w:pPr>
        <w:numPr>
          <w:numId w:val="0"/>
        </w:numPr>
        <w:ind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这篇专利提供的主要启示是：通信 AI 的验收结论，应从单个模型扩展到“模型版本组合、运行条件和最终功能表现”。它与部署后漂移验证的思路相近，但此处更关注模型之间的关系，以及一个模型加入或更新后对组合的影响。</w:t>
      </w:r>
    </w:p>
    <w:p w14:paraId="7DE98840">
      <w:pPr>
        <w:numPr>
          <w:numId w:val="0"/>
        </w:numPr>
        <w:ind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应用上，可以将其转化为实验室中的“模型更新回归测试系统”。以下是基于专利机制提出的实现建议，原文没有提供这些具体实验配置。首先，选择一条边界明确、能够取得输入和输出的通信 AI 链路，保留原有模型组合，再替换或增加一个候选模型。使用同一批可重复的测试场景运行更新前后的配置，同时记录模型输出、功能结果、运行时延和可获得的资源指标。先保证两次结果可比较，再判断新模型是否带来收益或退化。其次，将验收结果保存为可追溯记录，包括模型身份与版本、组合配置、场景、指标、门限和通过原因。这样可以回答“哪个版本与哪些模型搭配，在什么条件下通过”，也便于以后更新时复测相关功能。最后，设计失败处理验证：候选模型不合格时是否保持已验证配置；运行后表现退化时是否能恢复旧版本；配置恢复后功能是否正常。若要进一步研究故障定位，可尝试逐个恢复模型或按依赖关系选择复测对象，但这些方法需要自行设计并用实验验证。</w:t>
      </w:r>
    </w:p>
    <w:p w14:paraId="57678F24">
      <w:pPr>
        <w:numPr>
          <w:numId w:val="0"/>
        </w:numPr>
        <w:ind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研究成熟度方面，这是一份描述组合测试、批准管理和部署后监测机制的公开专利申请。原文给出了多种实体交互流程，但没有提供可复现实验所需的完整模型、测试数据、定量对比结果或实现代码；也不能据此认定苹果已经在商用终端中部署了完整系统。专利讨论了相关接口和测试用例可能与通信规范的关系，这属于方案设想，不能等同于已被 3GPP 采纳。</w:t>
      </w:r>
    </w:p>
    <w:p w14:paraId="2C499599">
      <w:pPr>
        <w:numPr>
          <w:numId w:val="0"/>
        </w:num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它适合作为通信 AI 模型更新与组合验收的系统框架依据。真正形成可运行的测试系统，还需要补齐可重复场景、指标采集、合格判据和版本回退验证；这些也是后续研究最具体的落点。</w:t>
      </w:r>
    </w:p>
    <w:p w14:paraId="0FFA6ADA">
      <w:pPr>
        <w:numPr>
          <w:numId w:val="0"/>
        </w:numPr>
        <w:rPr>
          <w:rFonts w:hint="eastAsia"/>
          <w:lang w:val="en-US" w:eastAsia="zh"/>
        </w:rPr>
      </w:pPr>
    </w:p>
    <w:p w14:paraId="64E02C88"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ascii="宋体" w:hAnsi="宋体" w:eastAsia="宋体" w:cs="宋体"/>
          <w:woUserID w:val="1"/>
        </w:rPr>
      </w:pPr>
      <w:r>
        <w:rPr>
          <w:rFonts w:ascii="宋体" w:hAnsi="宋体" w:eastAsia="宋体" w:cs="宋体"/>
          <w:woUserID w:val="1"/>
        </w:rPr>
        <w:t>苹果专利：部署后验证波束预测，并动态管理模型启用状态</w:t>
      </w:r>
    </w:p>
    <w:p w14:paraId="7913337F">
      <w:pPr>
        <w:keepNext w:val="0"/>
        <w:keepLines w:val="0"/>
        <w:widowControl/>
        <w:suppressLineNumbers w:val="0"/>
        <w:bidi w:val="0"/>
        <w:rPr>
          <w:woUserID w:val="1"/>
        </w:rPr>
      </w:pPr>
      <w:r>
        <w:rPr>
          <w:woUserID w:val="1"/>
        </w:rPr>
        <w:t>优先权日：2024-07-30；美国申请公开日：2026-02-05。申请人：Apple Inc.；Google Patents 当前标注为申请待审。</w:t>
      </w:r>
    </w:p>
    <w:p w14:paraId="5FDD382B">
      <w:pPr>
        <w:keepNext w:val="0"/>
        <w:keepLines w:val="0"/>
        <w:widowControl/>
        <w:suppressLineNumbers w:val="0"/>
        <w:bidi w:val="0"/>
        <w:rPr>
          <w:woUserID w:val="1"/>
        </w:rPr>
      </w:pPr>
      <w:r>
        <w:rPr>
          <w:woUserID w:val="1"/>
        </w:rPr>
        <w:t xml:space="preserve">专利 US20260039366A1 — </w:t>
      </w:r>
      <w:r>
        <w:rPr>
          <w:woUserID w:val="1"/>
        </w:rPr>
        <w:fldChar w:fldCharType="begin"/>
      </w:r>
      <w:r>
        <w:rPr>
          <w:woUserID w:val="1"/>
        </w:rPr>
        <w:instrText xml:space="preserve"> HYPERLINK "https://patents.google.com/patent/US20260039366A1/en?utm_source=chatgpt.com" </w:instrText>
      </w:r>
      <w:r>
        <w:rPr>
          <w:woUserID w:val="1"/>
        </w:rPr>
        <w:fldChar w:fldCharType="separate"/>
      </w:r>
      <w:r>
        <w:rPr>
          <w:rStyle w:val="10"/>
          <w:woUserID w:val="1"/>
        </w:rPr>
        <w:t>Dynamic model management and post-deployment verification for beam management spatial prediction（波束管理空间预测的动态模型管理与部署后验证）</w:t>
      </w:r>
      <w:r>
        <w:rPr>
          <w:woUserID w:val="1"/>
        </w:rPr>
        <w:fldChar w:fldCharType="end"/>
      </w:r>
      <w:r>
        <w:rPr>
          <w:woUserID w:val="1"/>
        </w:rPr>
        <w:t>。</w:t>
      </w:r>
    </w:p>
    <w:p w14:paraId="1B7EFFC2">
      <w:pPr>
        <w:keepNext w:val="0"/>
        <w:keepLines w:val="0"/>
        <w:widowControl/>
        <w:suppressLineNumbers w:val="0"/>
        <w:bidi w:val="0"/>
        <w:rPr>
          <w:b/>
          <w:bCs/>
          <w:woUserID w:val="1"/>
        </w:rPr>
      </w:pPr>
      <w:r>
        <w:rPr>
          <w:b/>
          <w:bCs/>
          <w:woUserID w:val="1"/>
        </w:rPr>
        <w:t>（1）技术概述</w:t>
      </w:r>
    </w:p>
    <w:p w14:paraId="25337369">
      <w:pPr>
        <w:keepNext w:val="0"/>
        <w:keepLines w:val="0"/>
        <w:widowControl/>
        <w:suppressLineNumbers w:val="0"/>
        <w:bidi w:val="0"/>
        <w:ind w:firstLine="420" w:firstLineChars="0"/>
        <w:rPr>
          <w:woUserID w:val="1"/>
        </w:rPr>
      </w:pPr>
      <w:r>
        <w:rPr>
          <w:woUserID w:val="1"/>
        </w:rPr>
        <w:t>这篇专利关注一个具体问题：用于波束预测的 AI 模型部署到终端后，如何确认它在当前无线环境下仍然可靠，以及如何验证新版本、决定哪些模型可以实际参与通信。理解这个问题，需要先明确“波束对”和“空间预测”。波束对由基站的一个发射波束与终端的一个接收波束组成，不同组合可能具有不同的接收质量。专利中的空间预测，是根据已测量的波束对信息，推断其他波束对的参考信号接收功率（RSRP），形成预测结果并挑选候选波束对。这里主要预测不同波束组合的无线表现，不应直接理解为预测未来某一时刻的信号变化。</w:t>
      </w:r>
    </w:p>
    <w:p w14:paraId="413870AA">
      <w:pPr>
        <w:keepNext w:val="0"/>
        <w:keepLines w:val="0"/>
        <w:widowControl/>
        <w:suppressLineNumbers w:val="0"/>
        <w:bidi w:val="0"/>
        <w:ind w:firstLine="420" w:firstLineChars="0"/>
        <w:rPr>
          <w:woUserID w:val="1"/>
        </w:rPr>
      </w:pPr>
      <w:r>
        <w:rPr>
          <w:woUserID w:val="1"/>
        </w:rPr>
        <w:t>苹果提出的机制是：服务器下发模型及其适用条件；终端检查当前环境和输入是否适合模型，监测输出是否异常，再将预测的 RSRP 与对应实测值进行比较；终端记录并上报模型表现，服务器据此更新模型或配置。候选模型也可以在暂不参与实际通信的状态下接受验证。与上一篇模型组合验证相比，这篇将验证对象进一步收敛到波束预测功能，并明确了验证所需的无线测量来源。</w:t>
      </w:r>
    </w:p>
    <w:p w14:paraId="35EACC07">
      <w:pPr>
        <w:keepNext w:val="0"/>
        <w:keepLines w:val="0"/>
        <w:widowControl/>
        <w:suppressLineNumbers w:val="0"/>
        <w:bidi w:val="0"/>
        <w:rPr>
          <w:woUserID w:val="1"/>
        </w:rPr>
      </w:pPr>
      <w:r>
        <w:rPr>
          <w:woUserID w:val="1"/>
        </w:rPr>
        <w:t>输入与输出可以分为三个层面：</w:t>
      </w:r>
    </w:p>
    <w:tbl>
      <w:tblPr>
        <w:tblW w:w="5000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4"/>
        <w:gridCol w:w="3329"/>
        <w:gridCol w:w="3893"/>
      </w:tblGrid>
      <w:tr w14:paraId="566608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672" w:type="pct"/>
            <w:shd w:val="clear"/>
            <w:vAlign w:val="center"/>
          </w:tcPr>
          <w:p w14:paraId="4D622EB3">
            <w:pPr>
              <w:keepNext w:val="0"/>
              <w:keepLines w:val="0"/>
              <w:widowControl/>
              <w:suppressLineNumbers w:val="0"/>
              <w:bidi w:val="0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层面</w:t>
            </w:r>
          </w:p>
        </w:tc>
        <w:tc>
          <w:tcPr>
            <w:tcW w:w="1964" w:type="pct"/>
            <w:shd w:val="clear"/>
            <w:vAlign w:val="center"/>
          </w:tcPr>
          <w:p w14:paraId="63F41F73">
            <w:pPr>
              <w:keepNext w:val="0"/>
              <w:keepLines w:val="0"/>
              <w:widowControl/>
              <w:suppressLineNumbers w:val="0"/>
              <w:bidi w:val="0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输入</w:t>
            </w:r>
          </w:p>
        </w:tc>
        <w:tc>
          <w:tcPr>
            <w:tcW w:w="2291" w:type="pct"/>
            <w:shd w:val="clear"/>
            <w:vAlign w:val="center"/>
          </w:tcPr>
          <w:p w14:paraId="7E39AAA2">
            <w:pPr>
              <w:keepNext w:val="0"/>
              <w:keepLines w:val="0"/>
              <w:widowControl/>
              <w:suppressLineNumbers w:val="0"/>
              <w:bidi w:val="0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输出及用途</w:t>
            </w:r>
          </w:p>
        </w:tc>
      </w:tr>
      <w:tr w14:paraId="22F671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72" w:type="pct"/>
            <w:shd w:val="clear"/>
            <w:vAlign w:val="center"/>
          </w:tcPr>
          <w:p w14:paraId="6AC34E90">
            <w:pPr>
              <w:keepNext w:val="0"/>
              <w:keepLines w:val="0"/>
              <w:widowControl/>
              <w:suppressLineNumbers w:val="0"/>
              <w:bidi w:val="0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波束预测</w:t>
            </w:r>
          </w:p>
        </w:tc>
        <w:tc>
          <w:tcPr>
            <w:tcW w:w="1964" w:type="pct"/>
            <w:shd w:val="clear"/>
            <w:vAlign w:val="center"/>
          </w:tcPr>
          <w:p w14:paraId="24525767">
            <w:pPr>
              <w:keepNext w:val="0"/>
              <w:keepLines w:val="0"/>
              <w:widowControl/>
              <w:suppressLineNumbers w:val="0"/>
              <w:bidi w:val="0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基站探测波束与终端接收波束构成的测量信息，例如波束对 RSRP</w:t>
            </w:r>
          </w:p>
        </w:tc>
        <w:tc>
          <w:tcPr>
            <w:tcW w:w="2291" w:type="pct"/>
            <w:shd w:val="clear"/>
            <w:vAlign w:val="center"/>
          </w:tcPr>
          <w:p w14:paraId="351EC5D8">
            <w:pPr>
              <w:keepNext w:val="0"/>
              <w:keepLines w:val="0"/>
              <w:widowControl/>
              <w:suppressLineNumbers w:val="0"/>
              <w:bidi w:val="0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各波束对的预测 RSRP，以及预测功率最高的前 K 个候选波束对</w:t>
            </w:r>
          </w:p>
        </w:tc>
      </w:tr>
      <w:tr w14:paraId="27EFFC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72" w:type="pct"/>
            <w:shd w:val="clear"/>
            <w:vAlign w:val="center"/>
          </w:tcPr>
          <w:p w14:paraId="204C2E2E">
            <w:pPr>
              <w:keepNext w:val="0"/>
              <w:keepLines w:val="0"/>
              <w:widowControl/>
              <w:suppressLineNumbers w:val="0"/>
              <w:bidi w:val="0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部署后验证</w:t>
            </w:r>
          </w:p>
        </w:tc>
        <w:tc>
          <w:tcPr>
            <w:tcW w:w="1964" w:type="pct"/>
            <w:shd w:val="clear"/>
            <w:vAlign w:val="center"/>
          </w:tcPr>
          <w:p w14:paraId="3E5B1B32">
            <w:pPr>
              <w:keepNext w:val="0"/>
              <w:keepLines w:val="0"/>
              <w:widowControl/>
              <w:suppressLineNumbers w:val="0"/>
              <w:bidi w:val="0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当前运行条件、输入与输出的分布、候选波束对的预测值和对应实测值</w:t>
            </w:r>
          </w:p>
        </w:tc>
        <w:tc>
          <w:tcPr>
            <w:tcW w:w="2291" w:type="pct"/>
            <w:shd w:val="clear"/>
            <w:vAlign w:val="center"/>
          </w:tcPr>
          <w:p w14:paraId="7E1D61EF">
            <w:pPr>
              <w:keepNext w:val="0"/>
              <w:keepLines w:val="0"/>
              <w:widowControl/>
              <w:suppressLineNumbers w:val="0"/>
              <w:bidi w:val="0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条件适配判断、异常检测结果、预测表现指标及模型有效性状态</w:t>
            </w:r>
          </w:p>
        </w:tc>
      </w:tr>
      <w:tr w14:paraId="3D0A21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72" w:type="pct"/>
            <w:shd w:val="clear"/>
            <w:vAlign w:val="center"/>
          </w:tcPr>
          <w:p w14:paraId="7CA7738E">
            <w:pPr>
              <w:keepNext w:val="0"/>
              <w:keepLines w:val="0"/>
              <w:widowControl/>
              <w:suppressLineNumbers w:val="0"/>
              <w:bidi w:val="0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模型管理</w:t>
            </w:r>
          </w:p>
        </w:tc>
        <w:tc>
          <w:tcPr>
            <w:tcW w:w="1964" w:type="pct"/>
            <w:shd w:val="clear"/>
            <w:vAlign w:val="center"/>
          </w:tcPr>
          <w:p w14:paraId="0E0EC7A1">
            <w:pPr>
              <w:keepNext w:val="0"/>
              <w:keepLines w:val="0"/>
              <w:widowControl/>
              <w:suppressLineNumbers w:val="0"/>
              <w:bidi w:val="0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模型身份与版本、适用条件、监测配置、验证结果</w:t>
            </w:r>
          </w:p>
        </w:tc>
        <w:tc>
          <w:tcPr>
            <w:tcW w:w="2291" w:type="pct"/>
            <w:shd w:val="clear"/>
            <w:vAlign w:val="center"/>
          </w:tcPr>
          <w:p w14:paraId="7637F679">
            <w:pPr>
              <w:keepNext w:val="0"/>
              <w:keepLines w:val="0"/>
              <w:widowControl/>
              <w:suppressLineNumbers w:val="0"/>
              <w:bidi w:val="0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模型属性更新、启用或停止使用的依据，以及向服务器提供的更新反馈</w:t>
            </w:r>
          </w:p>
        </w:tc>
      </w:tr>
    </w:tbl>
    <w:p w14:paraId="08D752DA">
      <w:pPr>
        <w:keepNext w:val="0"/>
        <w:keepLines w:val="0"/>
        <w:widowControl/>
        <w:suppressLineNumbers w:val="0"/>
        <w:bidi w:val="0"/>
        <w:ind w:firstLine="420" w:firstLineChars="0"/>
        <w:rPr>
          <w:woUserID w:val="1"/>
        </w:rPr>
      </w:pPr>
      <w:r>
        <w:rPr>
          <w:woUserID w:val="1"/>
        </w:rPr>
        <w:t>预测结果与验收结果需要区分：模型输出的是波束质量预测，验证流程输出的是该模型在相关条件下是否可靠的判断。</w:t>
      </w:r>
    </w:p>
    <w:p w14:paraId="2473AF2D">
      <w:pPr>
        <w:keepNext w:val="0"/>
        <w:keepLines w:val="0"/>
        <w:widowControl/>
        <w:suppressLineNumbers w:val="0"/>
        <w:bidi w:val="0"/>
        <w:rPr>
          <w:b/>
          <w:bCs/>
          <w:woUserID w:val="1"/>
        </w:rPr>
      </w:pPr>
      <w:r>
        <w:rPr>
          <w:b/>
          <w:bCs/>
          <w:woUserID w:val="1"/>
        </w:rPr>
        <w:t>（2）关键点</w:t>
      </w:r>
    </w:p>
    <w:p w14:paraId="3695C287">
      <w:pPr>
        <w:keepNext w:val="0"/>
        <w:keepLines w:val="0"/>
        <w:widowControl/>
        <w:suppressLineNumbers w:val="0"/>
        <w:bidi w:val="0"/>
        <w:ind w:firstLine="420" w:firstLineChars="0"/>
        <w:rPr>
          <w:woUserID w:val="1"/>
        </w:rPr>
      </w:pPr>
      <w:r>
        <w:rPr>
          <w:woUserID w:val="1"/>
        </w:rPr>
        <w:t>第一，验证按照“适用条件—输出异常—预测准确性”分层开展。专利将相关检查称为 KPI-3、KPI-2 和 KPI-1，图 10 展示了它们在验证流程中的位置。</w:t>
      </w:r>
    </w:p>
    <w:tbl>
      <w:tblPr>
        <w:tblW w:w="5000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8"/>
        <w:gridCol w:w="803"/>
        <w:gridCol w:w="5825"/>
      </w:tblGrid>
      <w:tr w14:paraId="7204A5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026" w:type="pct"/>
            <w:shd w:val="clear"/>
            <w:vAlign w:val="center"/>
          </w:tcPr>
          <w:p w14:paraId="03ED0D5D">
            <w:pPr>
              <w:keepNext w:val="0"/>
              <w:keepLines w:val="0"/>
              <w:widowControl/>
              <w:suppressLineNumbers w:val="0"/>
              <w:bidi w:val="0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检查层次</w:t>
            </w:r>
          </w:p>
        </w:tc>
        <w:tc>
          <w:tcPr>
            <w:tcW w:w="460" w:type="pct"/>
            <w:shd w:val="clear"/>
            <w:vAlign w:val="center"/>
          </w:tcPr>
          <w:p w14:paraId="41FC6A19">
            <w:pPr>
              <w:keepNext w:val="0"/>
              <w:keepLines w:val="0"/>
              <w:widowControl/>
              <w:suppressLineNumbers w:val="0"/>
              <w:bidi w:val="0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原文名称</w:t>
            </w:r>
          </w:p>
        </w:tc>
        <w:tc>
          <w:tcPr>
            <w:tcW w:w="3442" w:type="pct"/>
            <w:shd w:val="clear"/>
            <w:vAlign w:val="center"/>
          </w:tcPr>
          <w:p w14:paraId="32929055">
            <w:pPr>
              <w:keepNext w:val="0"/>
              <w:keepLines w:val="0"/>
              <w:widowControl/>
              <w:suppressLineNumbers w:val="0"/>
              <w:bidi w:val="0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主要检查内容</w:t>
            </w:r>
          </w:p>
        </w:tc>
      </w:tr>
      <w:tr w14:paraId="76A436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26" w:type="pct"/>
            <w:shd w:val="clear"/>
            <w:vAlign w:val="center"/>
          </w:tcPr>
          <w:p w14:paraId="0A69B4D8">
            <w:pPr>
              <w:keepNext w:val="0"/>
              <w:keepLines w:val="0"/>
              <w:widowControl/>
              <w:suppressLineNumbers w:val="0"/>
              <w:bidi w:val="0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环境与输入检查</w:t>
            </w:r>
          </w:p>
        </w:tc>
        <w:tc>
          <w:tcPr>
            <w:tcW w:w="460" w:type="pct"/>
            <w:shd w:val="clear"/>
            <w:vAlign w:val="center"/>
          </w:tcPr>
          <w:p w14:paraId="5C1E6B96">
            <w:pPr>
              <w:keepNext w:val="0"/>
              <w:keepLines w:val="0"/>
              <w:widowControl/>
              <w:suppressLineNumbers w:val="0"/>
              <w:bidi w:val="0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KPI-3</w:t>
            </w:r>
          </w:p>
        </w:tc>
        <w:tc>
          <w:tcPr>
            <w:tcW w:w="3442" w:type="pct"/>
            <w:shd w:val="clear"/>
            <w:vAlign w:val="center"/>
          </w:tcPr>
          <w:p w14:paraId="6872BC9F">
            <w:pPr>
              <w:keepNext w:val="0"/>
              <w:keepLines w:val="0"/>
              <w:widowControl/>
              <w:suppressLineNumbers w:val="0"/>
              <w:bidi w:val="0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当前信噪比、多普勒、时延扩展等条件，以及输入数据是否处于模型可接受范围</w:t>
            </w:r>
          </w:p>
        </w:tc>
      </w:tr>
      <w:tr w14:paraId="1C80D0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26" w:type="pct"/>
            <w:shd w:val="clear"/>
            <w:vAlign w:val="center"/>
          </w:tcPr>
          <w:p w14:paraId="5029EC5A">
            <w:pPr>
              <w:keepNext w:val="0"/>
              <w:keepLines w:val="0"/>
              <w:widowControl/>
              <w:suppressLineNumbers w:val="0"/>
              <w:bidi w:val="0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输出异常检查</w:t>
            </w:r>
          </w:p>
        </w:tc>
        <w:tc>
          <w:tcPr>
            <w:tcW w:w="460" w:type="pct"/>
            <w:shd w:val="clear"/>
            <w:vAlign w:val="center"/>
          </w:tcPr>
          <w:p w14:paraId="369A44FA">
            <w:pPr>
              <w:keepNext w:val="0"/>
              <w:keepLines w:val="0"/>
              <w:widowControl/>
              <w:suppressLineNumbers w:val="0"/>
              <w:bidi w:val="0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KPI-2</w:t>
            </w:r>
          </w:p>
        </w:tc>
        <w:tc>
          <w:tcPr>
            <w:tcW w:w="3442" w:type="pct"/>
            <w:shd w:val="clear"/>
            <w:vAlign w:val="center"/>
          </w:tcPr>
          <w:p w14:paraId="1D15F6D5">
            <w:pPr>
              <w:keepNext w:val="0"/>
              <w:keepLines w:val="0"/>
              <w:widowControl/>
              <w:suppressLineNumbers w:val="0"/>
              <w:bidi w:val="0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预测 RSRP 等输出的分布是否出现异常，是否偏离正常或可接受的输出分布</w:t>
            </w:r>
          </w:p>
        </w:tc>
      </w:tr>
      <w:tr w14:paraId="673E1B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26" w:type="pct"/>
            <w:shd w:val="clear"/>
            <w:vAlign w:val="center"/>
          </w:tcPr>
          <w:p w14:paraId="60BCE20C">
            <w:pPr>
              <w:keepNext w:val="0"/>
              <w:keepLines w:val="0"/>
              <w:widowControl/>
              <w:suppressLineNumbers w:val="0"/>
              <w:bidi w:val="0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预测表现检查</w:t>
            </w:r>
          </w:p>
        </w:tc>
        <w:tc>
          <w:tcPr>
            <w:tcW w:w="460" w:type="pct"/>
            <w:shd w:val="clear"/>
            <w:vAlign w:val="center"/>
          </w:tcPr>
          <w:p w14:paraId="2663742B">
            <w:pPr>
              <w:keepNext w:val="0"/>
              <w:keepLines w:val="0"/>
              <w:widowControl/>
              <w:suppressLineNumbers w:val="0"/>
              <w:bidi w:val="0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KPI-1</w:t>
            </w:r>
          </w:p>
        </w:tc>
        <w:tc>
          <w:tcPr>
            <w:tcW w:w="3442" w:type="pct"/>
            <w:shd w:val="clear"/>
            <w:vAlign w:val="center"/>
          </w:tcPr>
          <w:p w14:paraId="016277C0">
            <w:pPr>
              <w:keepNext w:val="0"/>
              <w:keepLines w:val="0"/>
              <w:widowControl/>
              <w:suppressLineNumbers w:val="0"/>
              <w:bidi w:val="0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预测值与对应实测值的差异或相似程度，并据此形成监测分数</w:t>
            </w:r>
          </w:p>
        </w:tc>
      </w:tr>
    </w:tbl>
    <w:p w14:paraId="07CCB686">
      <w:pPr>
        <w:keepNext w:val="0"/>
        <w:keepLines w:val="0"/>
        <w:widowControl/>
        <w:suppressLineNumbers w:val="0"/>
        <w:bidi w:val="0"/>
        <w:ind w:firstLine="420" w:firstLineChars="0"/>
        <w:rPr>
          <w:woUserID w:val="1"/>
        </w:rPr>
      </w:pPr>
      <w:r>
        <w:rPr>
          <w:woUserID w:val="1"/>
        </w:rPr>
        <w:t>在图 10 的实施方式中，输入不适合时可以停止将其送入模型；输出被判异常时可以不再开展后续准确性计算。原文提出支持向量机（SVM）或单类 SVM 作为输出异常检测的可选工具。这一设计有助于区分不同问题：当前条件超出模型适用范围，和模型在适用范围内预测失准，可能需要不同的处理方式。不过，输出分布正常只能通过一项筛查，仍需实测对照才能判断预测是否准确；异常检测的误报与漏报也需要实验评估。</w:t>
      </w:r>
    </w:p>
    <w:p w14:paraId="0A709D34">
      <w:pPr>
        <w:keepNext w:val="0"/>
        <w:keepLines w:val="0"/>
        <w:widowControl/>
        <w:suppressLineNumbers w:val="0"/>
        <w:bidi w:val="0"/>
        <w:ind w:firstLine="420" w:firstLineChars="0"/>
        <w:rPr>
          <w:woUserID w:val="1"/>
        </w:rPr>
      </w:pPr>
      <w:r>
        <w:rPr>
          <w:woUserID w:val="1"/>
        </w:rPr>
        <w:t>第二，预测准确性的参照来自实际无线测量。图 9 给出了比较具体的链路：终端根据探测波束测量进行预测，选出前 K 个候选波束对并向基站指示；基站发送相应波束，终端测量这些波束对的实际 RSRP，再与预测 RSRP 比较。原文列举了归一化均方误差（NMSE）、平方广义余弦相似度（SGCS）等评价工具，并提出对监测结果进行平滑处理。这使验证流程具有明确的观测对象：同一个波束对的预测功率与实测功率。在实际实现中，还需要控制两者的时间间隔、测量配置和功率表示方式，避免无线环境变化或数据处理差异影响比较。这些对齐要求需要测试系统进一步落实。</w:t>
      </w:r>
    </w:p>
    <w:p w14:paraId="4DA2B630">
      <w:pPr>
        <w:keepNext w:val="0"/>
        <w:keepLines w:val="0"/>
        <w:widowControl/>
        <w:suppressLineNumbers w:val="0"/>
        <w:bidi w:val="0"/>
        <w:ind w:firstLine="420" w:firstLineChars="0"/>
        <w:rPr>
          <w:woUserID w:val="1"/>
        </w:rPr>
      </w:pPr>
      <w:r>
        <w:rPr>
          <w:woUserID w:val="1"/>
        </w:rPr>
        <w:t>第三，检查候选波束的功率预测，不足以直接证明选出了全局最佳波束。</w:t>
      </w:r>
    </w:p>
    <w:p w14:paraId="5EA3201E">
      <w:pPr>
        <w:keepNext w:val="0"/>
        <w:keepLines w:val="0"/>
        <w:widowControl/>
        <w:suppressLineNumbers w:val="0"/>
        <w:bidi w:val="0"/>
        <w:rPr>
          <w:woUserID w:val="1"/>
        </w:rPr>
      </w:pPr>
      <w:r>
        <w:rPr>
          <w:woUserID w:val="1"/>
        </w:rPr>
        <w:t>图 9 的实测对照主要围绕模型预测的前 K 个波束对展开。它可以检查这些候选的预测功率是否接近实测值。由此可以推导出一个重要的验收边界：如果候选集合之外还存在更强的波束，仅测量候选集合未必能够发现遗漏。因此，“候选波束的功率预测准确”和“最佳波束选择正确”应分别评价。实验室若要检验后者，需要增加更完整的波束扫描或其他可信参照。这是对测试覆盖范围的分析，并非专利已经给出的完整验收判据。</w:t>
      </w:r>
    </w:p>
    <w:p w14:paraId="0A74A3FD">
      <w:pPr>
        <w:keepNext w:val="0"/>
        <w:keepLines w:val="0"/>
        <w:widowControl/>
        <w:suppressLineNumbers w:val="0"/>
        <w:bidi w:val="0"/>
        <w:ind w:firstLine="420" w:firstLineChars="0"/>
        <w:rPr>
          <w:woUserID w:val="1"/>
        </w:rPr>
      </w:pPr>
      <w:r>
        <w:rPr>
          <w:woUserID w:val="1"/>
        </w:rPr>
        <w:t>第四，“未启用”模型仍可以运行预测，用于验证候选版本。</w:t>
      </w:r>
    </w:p>
    <w:p w14:paraId="12BAE3D0">
      <w:pPr>
        <w:keepNext w:val="0"/>
        <w:keepLines w:val="0"/>
        <w:widowControl/>
        <w:suppressLineNumbers w:val="0"/>
        <w:bidi w:val="0"/>
        <w:rPr>
          <w:woUserID w:val="1"/>
        </w:rPr>
      </w:pPr>
      <w:r>
        <w:rPr>
          <w:woUserID w:val="1"/>
        </w:rPr>
        <w:t>原文对两种状态作了明确区分：启用模型的预测结果实际用于支持通信；未启用模型可以生成预测供终端评估，但这些预测不用于实际通信。因此，新模型可以先接受测试，再决定是否承担实际功能。图 6 还描述了模型测试、验证和启用状态的不同组合。从实现思路看，这相当于让候选模型先“旁路观察”：现用功能继续工作，候选模型利用相关输入产生结果供比较。但未启用不代表没有开销，模型推理和补充测量仍可能占用计算与无线资源，验证系统需要记录这些成本。</w:t>
      </w:r>
    </w:p>
    <w:p w14:paraId="2EE833A2">
      <w:pPr>
        <w:keepNext w:val="0"/>
        <w:keepLines w:val="0"/>
        <w:widowControl/>
        <w:suppressLineNumbers w:val="0"/>
        <w:bidi w:val="0"/>
        <w:ind w:firstLine="420" w:firstLineChars="0"/>
        <w:rPr>
          <w:woUserID w:val="1"/>
        </w:rPr>
      </w:pPr>
      <w:r>
        <w:rPr>
          <w:woUserID w:val="1"/>
        </w:rPr>
        <w:t>第五，模型有效性与适用条件、身份和版本一起管理。终端可以保存多个模型，并关联模型 ID、适用条件、表现指标和验证状态。服务器能够下发模型版本和监测配置，例如待监测模型的 ID 与定时配置；终端上报对应模型的表现，服务器再据此更新、重新训练或提供新模型。原文也允许对部分适配当前条件的候选模型进行探索性评估。因此，验收记录需要说明“哪个版本、在什么条件下得到什么结果”。在一类环境中验证通过，不宜直接扩展为所有环境下均有效。候选模型在条件不完全匹配时接受评估，也不能自动等同于获准用于实际通信。</w:t>
      </w:r>
    </w:p>
    <w:p w14:paraId="06D73FB7">
      <w:pPr>
        <w:keepNext w:val="0"/>
        <w:keepLines w:val="0"/>
        <w:widowControl/>
        <w:suppressLineNumbers w:val="0"/>
        <w:bidi w:val="0"/>
        <w:ind w:firstLine="420" w:firstLineChars="0"/>
        <w:rPr>
          <w:woUserID w:val="1"/>
        </w:rPr>
      </w:pPr>
      <w:r>
        <w:rPr>
          <w:woUserID w:val="1"/>
        </w:rPr>
        <w:t>第六，模型失效后保留传统测量选波束的回退路径。权利要求明确提出，当模型被判定为无效时，可以退回根据实测 RSRP 评价和选择波束对的方式。这使验收对象延伸到失效处理：不仅要检查能否发现不可靠模型，还要检查停止采用其输出后，测量与波束选择能否正常接续。回退速度、过程中的通信影响和资源开销，则需要具体系统实现与实验验证。</w:t>
      </w:r>
    </w:p>
    <w:p w14:paraId="26FD7513">
      <w:pPr>
        <w:keepNext w:val="0"/>
        <w:keepLines w:val="0"/>
        <w:widowControl/>
        <w:suppressLineNumbers w:val="0"/>
        <w:bidi w:val="0"/>
        <w:rPr>
          <w:b/>
          <w:bCs/>
          <w:woUserID w:val="1"/>
        </w:rPr>
      </w:pPr>
      <w:r>
        <w:rPr>
          <w:b/>
          <w:bCs/>
          <w:woUserID w:val="1"/>
        </w:rPr>
        <w:t>（3）研究启示、成熟度与应用思路</w:t>
      </w:r>
    </w:p>
    <w:p w14:paraId="797F9164">
      <w:pPr>
        <w:keepNext w:val="0"/>
        <w:keepLines w:val="0"/>
        <w:widowControl/>
        <w:suppressLineNumbers w:val="0"/>
        <w:bidi w:val="0"/>
        <w:ind w:firstLine="420" w:firstLineChars="0"/>
        <w:rPr>
          <w:woUserID w:val="1"/>
        </w:rPr>
      </w:pPr>
      <w:r>
        <w:rPr>
          <w:woUserID w:val="1"/>
        </w:rPr>
        <w:t>这篇专利的研究价值在于，将部署后验证落实到了波束对、预测 RSRP、实测 RSRP、适用条件和模型状态等具体对象。相比只描述“发现漂移后更新模型”，它更容易转化为可观察、可记录的测试流程。基于这一机制，可以设计一个波束预测模型验证原型。以下属于应用建议，不是专利提供的实验结果。</w:t>
      </w:r>
    </w:p>
    <w:p w14:paraId="69A4264B">
      <w:pPr>
        <w:keepNext w:val="0"/>
        <w:keepLines w:val="0"/>
        <w:widowControl/>
        <w:suppressLineNumbers w:val="0"/>
        <w:bidi w:val="0"/>
        <w:ind w:firstLine="420" w:firstLineChars="0"/>
        <w:rPr>
          <w:woUserID w:val="1"/>
        </w:rPr>
      </w:pPr>
      <w:r>
        <w:rPr>
          <w:woUserID w:val="1"/>
        </w:rPr>
        <w:t>首先，使用包含多组波束对 RSRP 的仿真或实测数据，将部分波束测量作为模型输入，保留更完整的测量作为测试参照。记录预测功率、候选波束集合和模型版本，分别评价功率预测误差、候选集合是否覆盖最佳波束，以及所选波束相对最佳波束的功率损失。</w:t>
      </w:r>
    </w:p>
    <w:p w14:paraId="511EEC8F">
      <w:pPr>
        <w:keepNext w:val="0"/>
        <w:keepLines w:val="0"/>
        <w:widowControl/>
        <w:suppressLineNumbers w:val="0"/>
        <w:bidi w:val="0"/>
        <w:ind w:firstLine="420" w:firstLineChars="0"/>
        <w:rPr>
          <w:woUserID w:val="1"/>
        </w:rPr>
      </w:pPr>
      <w:r>
        <w:rPr>
          <w:woUserID w:val="1"/>
        </w:rPr>
        <w:t>其次，改变遮挡、信噪比或移动条件，观察输入适配检查和输出异常检测能否发现问题，并验证告警是否对应实际性能退化。这样可以研究监测指标是否有效，避免只验证“异常检测程序能够输出告警”。</w:t>
      </w:r>
    </w:p>
    <w:p w14:paraId="12D54C05">
      <w:pPr>
        <w:keepNext w:val="0"/>
        <w:keepLines w:val="0"/>
        <w:widowControl/>
        <w:suppressLineNumbers w:val="0"/>
        <w:bidi w:val="0"/>
        <w:ind w:firstLine="420" w:firstLineChars="0"/>
        <w:rPr>
          <w:woUserID w:val="1"/>
        </w:rPr>
      </w:pPr>
      <w:r>
        <w:rPr>
          <w:woUserID w:val="1"/>
        </w:rPr>
        <w:t>最后，加入现用模型、候选模型和传统测量方法，验证候选模型先接受评估、通过后启用、失准后停止采用或回退的流程。初期可通过离线回放实现；若后续接入终端与可控无线环境，再评估真实推理时延、验证测量开销和通信连续性。</w:t>
      </w:r>
    </w:p>
    <w:p w14:paraId="6D26C6E2">
      <w:pPr>
        <w:keepNext w:val="0"/>
        <w:keepLines w:val="0"/>
        <w:widowControl/>
        <w:suppressLineNumbers w:val="0"/>
        <w:bidi w:val="0"/>
        <w:ind w:firstLine="420" w:firstLineChars="0"/>
        <w:rPr>
          <w:woUserID w:val="1"/>
        </w:rPr>
      </w:pPr>
      <w:r>
        <w:rPr>
          <w:woUserID w:val="1"/>
        </w:rPr>
        <w:t>成熟度方面，这是一份公开的待审专利申请。原文给出了模型管理流程、三类监测检查和预测与实测的对照路径，但没有提供完整训练数据、可复现实验配置、定量性能对比或实现代码，也没有规定通用的合格门限。它描述了在终端硬件和实际无线条件下验证的方案，现有文本不足以证明苹果已完成相应商用部署。</w:t>
      </w:r>
    </w:p>
    <w:p w14:paraId="2A7DE655"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ascii="宋体" w:hAnsi="宋体" w:eastAsia="宋体" w:cs="宋体"/>
          <w:woUserID w:val="1"/>
        </w:rPr>
      </w:pPr>
      <w:r>
        <w:rPr>
          <w:rFonts w:ascii="宋体" w:hAnsi="宋体" w:eastAsia="宋体" w:cs="宋体"/>
          <w:woUserID w:val="1"/>
        </w:rPr>
        <w:t>苹果专利：波束预测中联合检查“波束选对了没有”和“功率预测准不准”</w:t>
      </w:r>
    </w:p>
    <w:p w14:paraId="23877F79">
      <w:pPr>
        <w:keepNext w:val="0"/>
        <w:keepLines w:val="0"/>
        <w:widowControl/>
        <w:suppressLineNumbers w:val="0"/>
        <w:bidi w:val="0"/>
        <w:rPr>
          <w:woUserID w:val="1"/>
        </w:rPr>
      </w:pPr>
      <w:r>
        <w:rPr>
          <w:woUserID w:val="1"/>
        </w:rPr>
        <w:t>优先权日：2024-04-02；国际申请公开日：2025-10-09。申请人：Apple Inc.；Google Patents 当前标注为申请待审。</w:t>
      </w:r>
    </w:p>
    <w:p w14:paraId="294C2D1B">
      <w:pPr>
        <w:keepNext w:val="0"/>
        <w:keepLines w:val="0"/>
        <w:widowControl/>
        <w:suppressLineNumbers w:val="0"/>
        <w:bidi w:val="0"/>
        <w:rPr>
          <w:woUserID w:val="1"/>
        </w:rPr>
      </w:pPr>
      <w:r>
        <w:rPr>
          <w:woUserID w:val="1"/>
        </w:rPr>
        <w:t xml:space="preserve">专利 WO2025212462A1 — </w:t>
      </w:r>
      <w:r>
        <w:rPr>
          <w:woUserID w:val="1"/>
        </w:rPr>
        <w:fldChar w:fldCharType="begin"/>
      </w:r>
      <w:r>
        <w:rPr>
          <w:woUserID w:val="1"/>
        </w:rPr>
        <w:instrText xml:space="preserve"> HYPERLINK "https://patents.google.com/patent/WO2025212462A1/en?utm_source=chatgpt.com" </w:instrText>
      </w:r>
      <w:r>
        <w:rPr>
          <w:woUserID w:val="1"/>
        </w:rPr>
        <w:fldChar w:fldCharType="separate"/>
      </w:r>
      <w:r>
        <w:rPr>
          <w:rStyle w:val="10"/>
          <w:woUserID w:val="1"/>
        </w:rPr>
        <w:t>Beam measurement accuracy test metric for artificial intelligence / machine language (AI/ML) based beam management（面向 AI/ML 波束管理的波束测量精度测试指标）</w:t>
      </w:r>
      <w:r>
        <w:rPr>
          <w:woUserID w:val="1"/>
        </w:rPr>
        <w:fldChar w:fldCharType="end"/>
      </w:r>
      <w:r>
        <w:rPr>
          <w:woUserID w:val="1"/>
        </w:rPr>
        <w:t>。</w:t>
      </w:r>
    </w:p>
    <w:p w14:paraId="4AEE15A0">
      <w:pPr>
        <w:numPr>
          <w:numId w:val="0"/>
        </w:numPr>
        <w:ind w:leftChars="0"/>
        <w:rPr>
          <w:rFonts w:hint="eastAsia"/>
          <w:b/>
          <w:bCs/>
          <w:lang w:val="en-US" w:eastAsia="zh"/>
          <w:woUserID w:val="1"/>
        </w:rPr>
      </w:pPr>
      <w:r>
        <w:rPr>
          <w:rFonts w:hint="eastAsia"/>
          <w:b/>
          <w:bCs/>
          <w:lang w:val="en-US" w:eastAsia="zh"/>
          <w:woUserID w:val="1"/>
        </w:rPr>
        <w:t>（1）技术概述</w:t>
      </w:r>
    </w:p>
    <w:p w14:paraId="6D2790C0">
      <w:pPr>
        <w:numPr>
          <w:numId w:val="0"/>
        </w:numPr>
        <w:ind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这篇专利研究的是波束预测功能如何判定合格。AI 模型可以根据部分波束的测量，预测更大范围内各波束的接收功率，并选出较好的候选波束。验收时需要回答两个相关但不同的问题：模型是否找到了合适的波束，以及它对波束接收功率的预测是否准确。</w:t>
      </w:r>
    </w:p>
    <w:p w14:paraId="4A713A0D">
      <w:pPr>
        <w:numPr>
          <w:numId w:val="0"/>
        </w:numPr>
        <w:ind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苹果指出，单独采用其中一类指标，可能得到不完整甚至相互矛盾的结论。例如，预测列表中包含实测最强波束，但该波束的预测功率仍可能偏差很大。专利因而提出，在波束标识和参考信号接收功率（RSRP）两个维度上联合比较预测与测量结果。其核心方法是构建“二维容差框”：为波束标识匹配和 RSRP 差异分别设置允许范围，检查预测波束与实测参考波束是否同时满足要求。方案还允许对不同排名的波束设置不同容差，以及在特定情况下增加第二次测量。</w:t>
      </w:r>
    </w:p>
    <w:p w14:paraId="7A7E2609">
      <w:pPr>
        <w:numPr>
          <w:numId w:val="0"/>
        </w:numPr>
        <w:ind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与上一篇侧重部署后的模型监测和状态管理相比，这篇更集中于一个具体环节：预测结果与参考测量之间，采用什么判据才能形成合理的测试结论。</w:t>
      </w:r>
    </w:p>
    <w:p w14:paraId="7AA718BF">
      <w:pPr>
        <w:numPr>
          <w:numId w:val="0"/>
        </w:numPr>
        <w:ind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输入与输出如下：</w:t>
      </w:r>
    </w:p>
    <w:tbl>
      <w:tblPr>
        <w:tblW w:w="5000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8"/>
        <w:gridCol w:w="3362"/>
        <w:gridCol w:w="3716"/>
      </w:tblGrid>
      <w:tr w14:paraId="6D6AFB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758" w:type="pct"/>
            <w:shd w:val="clear"/>
            <w:vAlign w:val="center"/>
          </w:tcPr>
          <w:p w14:paraId="69F8B2CA">
            <w:pPr>
              <w:numPr>
                <w:numId w:val="0"/>
              </w:numPr>
              <w:ind w:leftChars="0"/>
              <w:rPr>
                <w:rFonts w:hint="eastAsia"/>
                <w:lang w:val="en-US" w:eastAsia="zh"/>
                <w:woUserID w:val="1"/>
              </w:rPr>
            </w:pPr>
            <w:r>
              <w:rPr>
                <w:rFonts w:hint="eastAsia"/>
                <w:lang w:val="en-US" w:eastAsia="zh"/>
                <w:woUserID w:val="1"/>
              </w:rPr>
              <w:t>层面</w:t>
            </w:r>
          </w:p>
        </w:tc>
        <w:tc>
          <w:tcPr>
            <w:tcW w:w="1984" w:type="pct"/>
            <w:shd w:val="clear"/>
            <w:vAlign w:val="center"/>
          </w:tcPr>
          <w:p w14:paraId="1ABD7782">
            <w:pPr>
              <w:numPr>
                <w:numId w:val="0"/>
              </w:numPr>
              <w:ind w:leftChars="0"/>
              <w:rPr>
                <w:rFonts w:hint="eastAsia"/>
                <w:lang w:val="en-US" w:eastAsia="zh"/>
                <w:woUserID w:val="1"/>
              </w:rPr>
            </w:pPr>
            <w:r>
              <w:rPr>
                <w:rFonts w:hint="eastAsia"/>
                <w:lang w:val="en-US" w:eastAsia="zh"/>
                <w:woUserID w:val="1"/>
              </w:rPr>
              <w:t>输入</w:t>
            </w:r>
          </w:p>
        </w:tc>
        <w:tc>
          <w:tcPr>
            <w:tcW w:w="2186" w:type="pct"/>
            <w:shd w:val="clear"/>
            <w:vAlign w:val="center"/>
          </w:tcPr>
          <w:p w14:paraId="15EAC4FD">
            <w:pPr>
              <w:numPr>
                <w:numId w:val="0"/>
              </w:numPr>
              <w:ind w:leftChars="0"/>
              <w:rPr>
                <w:rFonts w:hint="eastAsia"/>
                <w:lang w:val="en-US" w:eastAsia="zh"/>
                <w:woUserID w:val="1"/>
              </w:rPr>
            </w:pPr>
            <w:r>
              <w:rPr>
                <w:rFonts w:hint="eastAsia"/>
                <w:lang w:val="en-US" w:eastAsia="zh"/>
                <w:woUserID w:val="1"/>
              </w:rPr>
              <w:t>输出及用途</w:t>
            </w:r>
          </w:p>
        </w:tc>
      </w:tr>
      <w:tr w14:paraId="31999D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58" w:type="pct"/>
            <w:shd w:val="clear"/>
            <w:vAlign w:val="center"/>
          </w:tcPr>
          <w:p w14:paraId="5920DC9F">
            <w:pPr>
              <w:numPr>
                <w:numId w:val="0"/>
              </w:numPr>
              <w:ind w:leftChars="0"/>
              <w:rPr>
                <w:rFonts w:hint="eastAsia"/>
                <w:lang w:val="en-US" w:eastAsia="zh"/>
                <w:woUserID w:val="1"/>
              </w:rPr>
            </w:pPr>
            <w:r>
              <w:rPr>
                <w:rFonts w:hint="eastAsia"/>
                <w:lang w:val="en-US" w:eastAsia="zh"/>
                <w:woUserID w:val="1"/>
              </w:rPr>
              <w:t>AI 波束预测</w:t>
            </w:r>
          </w:p>
        </w:tc>
        <w:tc>
          <w:tcPr>
            <w:tcW w:w="1984" w:type="pct"/>
            <w:shd w:val="clear"/>
            <w:vAlign w:val="center"/>
          </w:tcPr>
          <w:p w14:paraId="587404DD">
            <w:pPr>
              <w:numPr>
                <w:numId w:val="0"/>
              </w:numPr>
              <w:ind w:leftChars="0"/>
              <w:rPr>
                <w:rFonts w:hint="eastAsia"/>
                <w:lang w:val="en-US" w:eastAsia="zh"/>
                <w:woUserID w:val="1"/>
              </w:rPr>
            </w:pPr>
            <w:r>
              <w:rPr>
                <w:rFonts w:hint="eastAsia"/>
                <w:lang w:val="en-US" w:eastAsia="zh"/>
                <w:woUserID w:val="1"/>
              </w:rPr>
              <w:t>部分波束的测量 RSRP 和波束 ID</w:t>
            </w:r>
          </w:p>
        </w:tc>
        <w:tc>
          <w:tcPr>
            <w:tcW w:w="2186" w:type="pct"/>
            <w:shd w:val="clear"/>
            <w:vAlign w:val="center"/>
          </w:tcPr>
          <w:p w14:paraId="78B2E00E">
            <w:pPr>
              <w:numPr>
                <w:numId w:val="0"/>
              </w:numPr>
              <w:ind w:leftChars="0"/>
              <w:rPr>
                <w:rFonts w:hint="eastAsia"/>
                <w:lang w:val="en-US" w:eastAsia="zh"/>
                <w:woUserID w:val="1"/>
              </w:rPr>
            </w:pPr>
            <w:r>
              <w:rPr>
                <w:rFonts w:hint="eastAsia"/>
                <w:lang w:val="en-US" w:eastAsia="zh"/>
                <w:woUserID w:val="1"/>
              </w:rPr>
              <w:t>更大波束集合的预测 RSRP及对应 ID，并据此选出前 K 个候选波束</w:t>
            </w:r>
          </w:p>
        </w:tc>
      </w:tr>
      <w:tr w14:paraId="67591F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58" w:type="pct"/>
            <w:shd w:val="clear"/>
            <w:vAlign w:val="center"/>
          </w:tcPr>
          <w:p w14:paraId="66266343">
            <w:pPr>
              <w:numPr>
                <w:numId w:val="0"/>
              </w:numPr>
              <w:ind w:leftChars="0"/>
              <w:rPr>
                <w:rFonts w:hint="eastAsia"/>
                <w:lang w:val="en-US" w:eastAsia="zh"/>
                <w:woUserID w:val="1"/>
              </w:rPr>
            </w:pPr>
            <w:r>
              <w:rPr>
                <w:rFonts w:hint="eastAsia"/>
                <w:lang w:val="en-US" w:eastAsia="zh"/>
                <w:woUserID w:val="1"/>
              </w:rPr>
              <w:t>测试参照</w:t>
            </w:r>
          </w:p>
        </w:tc>
        <w:tc>
          <w:tcPr>
            <w:tcW w:w="1984" w:type="pct"/>
            <w:shd w:val="clear"/>
            <w:vAlign w:val="center"/>
          </w:tcPr>
          <w:p w14:paraId="4B0A8B32">
            <w:pPr>
              <w:numPr>
                <w:numId w:val="0"/>
              </w:numPr>
              <w:ind w:leftChars="0"/>
              <w:rPr>
                <w:rFonts w:hint="eastAsia"/>
                <w:lang w:val="en-US" w:eastAsia="zh"/>
                <w:woUserID w:val="1"/>
              </w:rPr>
            </w:pPr>
            <w:r>
              <w:rPr>
                <w:rFonts w:hint="eastAsia"/>
                <w:lang w:val="en-US" w:eastAsia="zh"/>
                <w:woUserID w:val="1"/>
              </w:rPr>
              <w:t>实测波束的 ID、RSRP，以及由这些测量确定的较强波束</w:t>
            </w:r>
          </w:p>
        </w:tc>
        <w:tc>
          <w:tcPr>
            <w:tcW w:w="2186" w:type="pct"/>
            <w:shd w:val="clear"/>
            <w:vAlign w:val="center"/>
          </w:tcPr>
          <w:p w14:paraId="31226527">
            <w:pPr>
              <w:numPr>
                <w:numId w:val="0"/>
              </w:numPr>
              <w:ind w:leftChars="0"/>
              <w:rPr>
                <w:rFonts w:hint="eastAsia"/>
                <w:lang w:val="en-US" w:eastAsia="zh"/>
                <w:woUserID w:val="1"/>
              </w:rPr>
            </w:pPr>
            <w:r>
              <w:rPr>
                <w:rFonts w:hint="eastAsia"/>
                <w:lang w:val="en-US" w:eastAsia="zh"/>
                <w:woUserID w:val="1"/>
              </w:rPr>
              <w:t>与模型预测进行比较的参考结果</w:t>
            </w:r>
          </w:p>
        </w:tc>
      </w:tr>
      <w:tr w14:paraId="47D8CF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58" w:type="pct"/>
            <w:shd w:val="clear"/>
            <w:vAlign w:val="center"/>
          </w:tcPr>
          <w:p w14:paraId="0E7BC503">
            <w:pPr>
              <w:numPr>
                <w:numId w:val="0"/>
              </w:numPr>
              <w:ind w:leftChars="0"/>
              <w:rPr>
                <w:rFonts w:hint="eastAsia"/>
                <w:lang w:val="en-US" w:eastAsia="zh"/>
                <w:woUserID w:val="1"/>
              </w:rPr>
            </w:pPr>
            <w:r>
              <w:rPr>
                <w:rFonts w:hint="eastAsia"/>
                <w:lang w:val="en-US" w:eastAsia="zh"/>
                <w:woUserID w:val="1"/>
              </w:rPr>
              <w:t>联合判定</w:t>
            </w:r>
          </w:p>
        </w:tc>
        <w:tc>
          <w:tcPr>
            <w:tcW w:w="1984" w:type="pct"/>
            <w:shd w:val="clear"/>
            <w:vAlign w:val="center"/>
          </w:tcPr>
          <w:p w14:paraId="2A7FC943">
            <w:pPr>
              <w:numPr>
                <w:numId w:val="0"/>
              </w:numPr>
              <w:ind w:leftChars="0"/>
              <w:rPr>
                <w:rFonts w:hint="eastAsia"/>
                <w:lang w:val="en-US" w:eastAsia="zh"/>
                <w:woUserID w:val="1"/>
              </w:rPr>
            </w:pPr>
            <w:r>
              <w:rPr>
                <w:rFonts w:hint="eastAsia"/>
                <w:lang w:val="en-US" w:eastAsia="zh"/>
                <w:woUserID w:val="1"/>
              </w:rPr>
              <w:t>预测与实测结果、配对规则、波束 ID 和 RSRP 容差</w:t>
            </w:r>
          </w:p>
        </w:tc>
        <w:tc>
          <w:tcPr>
            <w:tcW w:w="2186" w:type="pct"/>
            <w:shd w:val="clear"/>
            <w:vAlign w:val="center"/>
          </w:tcPr>
          <w:p w14:paraId="40F894AC">
            <w:pPr>
              <w:numPr>
                <w:numId w:val="0"/>
              </w:numPr>
              <w:ind w:leftChars="0"/>
              <w:rPr>
                <w:rFonts w:hint="eastAsia"/>
                <w:lang w:val="en-US" w:eastAsia="zh"/>
                <w:woUserID w:val="1"/>
              </w:rPr>
            </w:pPr>
            <w:r>
              <w:rPr>
                <w:rFonts w:hint="eastAsia"/>
                <w:lang w:val="en-US" w:eastAsia="zh"/>
                <w:woUserID w:val="1"/>
              </w:rPr>
              <w:t>模型是否在所设判据下满足可接受要求</w:t>
            </w:r>
          </w:p>
        </w:tc>
      </w:tr>
    </w:tbl>
    <w:p w14:paraId="305855A5">
      <w:pPr>
        <w:numPr>
          <w:numId w:val="0"/>
        </w:numPr>
        <w:ind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图 12 举例说明，可以用较小的测量集合预测完整码本或其子集；这里的码本可以理解为预先定义的一组可用波束配置。原文中的波束数量只是实施例，不是统一测试要求。</w:t>
      </w:r>
    </w:p>
    <w:p w14:paraId="7693C48F">
      <w:pPr>
        <w:numPr>
          <w:numId w:val="0"/>
        </w:numPr>
        <w:ind w:leftChars="0"/>
        <w:rPr>
          <w:rFonts w:hint="eastAsia"/>
          <w:b/>
          <w:bCs/>
          <w:lang w:val="en-US" w:eastAsia="zh"/>
          <w:woUserID w:val="1"/>
        </w:rPr>
      </w:pPr>
      <w:r>
        <w:rPr>
          <w:rFonts w:hint="eastAsia"/>
          <w:b/>
          <w:bCs/>
          <w:lang w:val="en-US" w:eastAsia="zh"/>
          <w:woUserID w:val="1"/>
        </w:rPr>
        <w:t>（2）关键点</w:t>
      </w:r>
    </w:p>
    <w:p w14:paraId="2B185013">
      <w:pPr>
        <w:numPr>
          <w:numId w:val="0"/>
        </w:numPr>
        <w:ind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第一，波束识别正确和功率预测准确，需要分别观察。</w:t>
      </w:r>
    </w:p>
    <w:p w14:paraId="69763F5E">
      <w:pPr>
        <w:numPr>
          <w:numId w:val="0"/>
        </w:numPr>
        <w:ind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专利讨论了三类已有或候选评价方式：</w:t>
      </w:r>
    </w:p>
    <w:tbl>
      <w:tblPr>
        <w:tblW w:w="5000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6"/>
        <w:gridCol w:w="5025"/>
        <w:gridCol w:w="2025"/>
      </w:tblGrid>
      <w:tr w14:paraId="57774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775" w:type="pct"/>
            <w:shd w:val="clear"/>
            <w:vAlign w:val="center"/>
          </w:tcPr>
          <w:p w14:paraId="6FE09D1F">
            <w:pPr>
              <w:numPr>
                <w:numId w:val="0"/>
              </w:numPr>
              <w:ind w:leftChars="0"/>
              <w:rPr>
                <w:rFonts w:hint="eastAsia"/>
                <w:lang w:val="en-US" w:eastAsia="zh"/>
                <w:woUserID w:val="1"/>
              </w:rPr>
            </w:pPr>
            <w:r>
              <w:rPr>
                <w:rFonts w:hint="eastAsia"/>
                <w:lang w:val="en-US" w:eastAsia="zh"/>
                <w:woUserID w:val="1"/>
              </w:rPr>
              <w:t>评价方式</w:t>
            </w:r>
          </w:p>
        </w:tc>
        <w:tc>
          <w:tcPr>
            <w:tcW w:w="2974" w:type="pct"/>
            <w:shd w:val="clear"/>
            <w:vAlign w:val="center"/>
          </w:tcPr>
          <w:p w14:paraId="0803D274">
            <w:pPr>
              <w:numPr>
                <w:numId w:val="0"/>
              </w:numPr>
              <w:ind w:leftChars="0"/>
              <w:rPr>
                <w:rFonts w:hint="eastAsia"/>
                <w:lang w:val="en-US" w:eastAsia="zh"/>
                <w:woUserID w:val="1"/>
              </w:rPr>
            </w:pPr>
            <w:r>
              <w:rPr>
                <w:rFonts w:hint="eastAsia"/>
                <w:lang w:val="en-US" w:eastAsia="zh"/>
                <w:woUserID w:val="1"/>
              </w:rPr>
              <w:t>检查对象</w:t>
            </w:r>
          </w:p>
        </w:tc>
        <w:tc>
          <w:tcPr>
            <w:tcW w:w="1179" w:type="pct"/>
            <w:shd w:val="clear"/>
            <w:vAlign w:val="center"/>
          </w:tcPr>
          <w:p w14:paraId="29058EC8">
            <w:pPr>
              <w:numPr>
                <w:numId w:val="0"/>
              </w:numPr>
              <w:ind w:leftChars="0"/>
              <w:rPr>
                <w:rFonts w:hint="eastAsia"/>
                <w:lang w:val="en-US" w:eastAsia="zh"/>
                <w:woUserID w:val="1"/>
              </w:rPr>
            </w:pPr>
            <w:r>
              <w:rPr>
                <w:rFonts w:hint="eastAsia"/>
                <w:lang w:val="en-US" w:eastAsia="zh"/>
                <w:woUserID w:val="1"/>
              </w:rPr>
              <w:t>主要关注点</w:t>
            </w:r>
          </w:p>
        </w:tc>
      </w:tr>
      <w:tr w14:paraId="46A1B4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75" w:type="pct"/>
            <w:shd w:val="clear"/>
            <w:vAlign w:val="center"/>
          </w:tcPr>
          <w:p w14:paraId="78F8AF2F">
            <w:pPr>
              <w:numPr>
                <w:numId w:val="0"/>
              </w:numPr>
              <w:ind w:leftChars="0"/>
              <w:rPr>
                <w:rFonts w:hint="eastAsia"/>
                <w:lang w:val="en-US" w:eastAsia="zh"/>
                <w:woUserID w:val="1"/>
              </w:rPr>
            </w:pPr>
            <w:r>
              <w:rPr>
                <w:rFonts w:hint="eastAsia"/>
                <w:lang w:val="en-US" w:eastAsia="zh"/>
                <w:woUserID w:val="1"/>
              </w:rPr>
              <w:t>RSRP 精度</w:t>
            </w:r>
          </w:p>
        </w:tc>
        <w:tc>
          <w:tcPr>
            <w:tcW w:w="2974" w:type="pct"/>
            <w:shd w:val="clear"/>
            <w:vAlign w:val="center"/>
          </w:tcPr>
          <w:p w14:paraId="56DAF851">
            <w:pPr>
              <w:numPr>
                <w:numId w:val="0"/>
              </w:numPr>
              <w:ind w:leftChars="0"/>
              <w:rPr>
                <w:rFonts w:hint="eastAsia"/>
                <w:lang w:val="en-US" w:eastAsia="zh"/>
                <w:woUserID w:val="1"/>
              </w:rPr>
            </w:pPr>
            <w:r>
              <w:rPr>
                <w:rFonts w:hint="eastAsia"/>
                <w:lang w:val="en-US" w:eastAsia="zh"/>
                <w:woUserID w:val="1"/>
              </w:rPr>
              <w:t>预测功率与参考实测功率的差异</w:t>
            </w:r>
          </w:p>
        </w:tc>
        <w:tc>
          <w:tcPr>
            <w:tcW w:w="1179" w:type="pct"/>
            <w:shd w:val="clear"/>
            <w:vAlign w:val="center"/>
          </w:tcPr>
          <w:p w14:paraId="1B0DD3BF">
            <w:pPr>
              <w:numPr>
                <w:numId w:val="0"/>
              </w:numPr>
              <w:ind w:leftChars="0"/>
              <w:rPr>
                <w:rFonts w:hint="eastAsia"/>
                <w:lang w:val="en-US" w:eastAsia="zh"/>
                <w:woUserID w:val="1"/>
              </w:rPr>
            </w:pPr>
            <w:r>
              <w:rPr>
                <w:rFonts w:hint="eastAsia"/>
                <w:lang w:val="en-US" w:eastAsia="zh"/>
                <w:woUserID w:val="1"/>
              </w:rPr>
              <w:t>功率数值是否接近</w:t>
            </w:r>
          </w:p>
        </w:tc>
      </w:tr>
      <w:tr w14:paraId="3CCB7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75" w:type="pct"/>
            <w:shd w:val="clear"/>
            <w:vAlign w:val="center"/>
          </w:tcPr>
          <w:p w14:paraId="0DE536F3">
            <w:pPr>
              <w:numPr>
                <w:numId w:val="0"/>
              </w:numPr>
              <w:ind w:leftChars="0"/>
              <w:rPr>
                <w:rFonts w:hint="eastAsia"/>
                <w:lang w:val="en-US" w:eastAsia="zh"/>
                <w:woUserID w:val="1"/>
              </w:rPr>
            </w:pPr>
            <w:r>
              <w:rPr>
                <w:rFonts w:hint="eastAsia"/>
                <w:lang w:val="en-US" w:eastAsia="zh"/>
                <w:woUserID w:val="1"/>
              </w:rPr>
              <w:t>波束预测精度</w:t>
            </w:r>
          </w:p>
        </w:tc>
        <w:tc>
          <w:tcPr>
            <w:tcW w:w="2974" w:type="pct"/>
            <w:shd w:val="clear"/>
            <w:vAlign w:val="center"/>
          </w:tcPr>
          <w:p w14:paraId="2BBB9210">
            <w:pPr>
              <w:numPr>
                <w:numId w:val="0"/>
              </w:numPr>
              <w:ind w:leftChars="0"/>
              <w:rPr>
                <w:rFonts w:hint="eastAsia"/>
                <w:lang w:val="en-US" w:eastAsia="zh"/>
                <w:woUserID w:val="1"/>
              </w:rPr>
            </w:pPr>
            <w:r>
              <w:rPr>
                <w:rFonts w:hint="eastAsia"/>
                <w:lang w:val="en-US" w:eastAsia="zh"/>
                <w:woUserID w:val="1"/>
              </w:rPr>
              <w:t>实测最强波束是否出现在预测候选集合中等</w:t>
            </w:r>
          </w:p>
        </w:tc>
        <w:tc>
          <w:tcPr>
            <w:tcW w:w="1179" w:type="pct"/>
            <w:shd w:val="clear"/>
            <w:vAlign w:val="center"/>
          </w:tcPr>
          <w:p w14:paraId="70125EBD">
            <w:pPr>
              <w:numPr>
                <w:numId w:val="0"/>
              </w:numPr>
              <w:ind w:leftChars="0"/>
              <w:rPr>
                <w:rFonts w:hint="eastAsia"/>
                <w:lang w:val="en-US" w:eastAsia="zh"/>
                <w:woUserID w:val="1"/>
              </w:rPr>
            </w:pPr>
            <w:r>
              <w:rPr>
                <w:rFonts w:hint="eastAsia"/>
                <w:lang w:val="en-US" w:eastAsia="zh"/>
                <w:woUserID w:val="1"/>
              </w:rPr>
              <w:t>是否识别到目标波束</w:t>
            </w:r>
          </w:p>
        </w:tc>
      </w:tr>
      <w:tr w14:paraId="29D1F1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75" w:type="pct"/>
            <w:shd w:val="clear"/>
            <w:vAlign w:val="center"/>
          </w:tcPr>
          <w:p w14:paraId="75BC21BD">
            <w:pPr>
              <w:numPr>
                <w:numId w:val="0"/>
              </w:numPr>
              <w:ind w:leftChars="0"/>
              <w:rPr>
                <w:rFonts w:hint="eastAsia"/>
                <w:lang w:val="en-US" w:eastAsia="zh"/>
                <w:woUserID w:val="1"/>
              </w:rPr>
            </w:pPr>
            <w:r>
              <w:rPr>
                <w:rFonts w:hint="eastAsia"/>
                <w:lang w:val="en-US" w:eastAsia="zh"/>
                <w:woUserID w:val="1"/>
              </w:rPr>
              <w:t>功率门限比较</w:t>
            </w:r>
          </w:p>
        </w:tc>
        <w:tc>
          <w:tcPr>
            <w:tcW w:w="2974" w:type="pct"/>
            <w:shd w:val="clear"/>
            <w:vAlign w:val="center"/>
          </w:tcPr>
          <w:p w14:paraId="4E228E52">
            <w:pPr>
              <w:numPr>
                <w:numId w:val="0"/>
              </w:numPr>
              <w:ind w:leftChars="0"/>
              <w:rPr>
                <w:rFonts w:hint="eastAsia"/>
                <w:lang w:val="en-US" w:eastAsia="zh"/>
                <w:woUserID w:val="1"/>
              </w:rPr>
            </w:pPr>
            <w:r>
              <w:rPr>
                <w:rFonts w:hint="eastAsia"/>
                <w:lang w:val="en-US" w:eastAsia="zh"/>
                <w:woUserID w:val="1"/>
              </w:rPr>
              <w:t>候选集合中的最大预测 RSRP 是否高于“参考最强波束 RSRP 减去允许差值”</w:t>
            </w:r>
          </w:p>
        </w:tc>
        <w:tc>
          <w:tcPr>
            <w:tcW w:w="1179" w:type="pct"/>
            <w:shd w:val="clear"/>
            <w:vAlign w:val="center"/>
          </w:tcPr>
          <w:p w14:paraId="17E8602B">
            <w:pPr>
              <w:numPr>
                <w:numId w:val="0"/>
              </w:numPr>
              <w:ind w:leftChars="0"/>
              <w:rPr>
                <w:rFonts w:hint="eastAsia"/>
                <w:lang w:val="en-US" w:eastAsia="zh"/>
                <w:woUserID w:val="1"/>
              </w:rPr>
            </w:pPr>
            <w:r>
              <w:rPr>
                <w:rFonts w:hint="eastAsia"/>
                <w:lang w:val="en-US" w:eastAsia="zh"/>
                <w:woUserID w:val="1"/>
              </w:rPr>
              <w:t>是否达到规定的功率比较条件</w:t>
            </w:r>
          </w:p>
        </w:tc>
      </w:tr>
    </w:tbl>
    <w:p w14:paraId="20EC4401">
      <w:pPr>
        <w:numPr>
          <w:numId w:val="0"/>
        </w:numPr>
        <w:ind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图 13—16 用示意情况说明，采用不同指标可能得到不同的通过或失败结论。这些图是在解释判据差异，不是模型性能的定量实验结果。用一个说明性例子理解：实测最强波束是 A，功率为 −70 dBm。模型虽然把 A 放入候选列表，却预测为 −85 dBm，那么波束命中检查可以通过，功率预测检查仍可能失败。这里的数值仅用于解释，不来自专利实验。第三类比较还需要特别注意：它涉及预测功率。预测值较高，并不能单独证明对应波束实际接收质量较好。因此，验收报告应明确比较的是预测值还是实测值，避免将两者混用。</w:t>
      </w:r>
    </w:p>
    <w:p w14:paraId="4103C349">
      <w:pPr>
        <w:numPr>
          <w:numId w:val="0"/>
        </w:numPr>
        <w:ind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第二，二维容差框将波束匹配和功率差异纳入同一次判断。图 17 的核心思路，是把每个待比较结果表示为“波束 ID、RSRP”这一对信息，再分别设置两个维度上的容差。按选定配对规则，预测结果与实测结果落入同一个容差框时，可判定该比较满足要求。原文描述了多种配对方式，例如比较实测最强与预测最强波束，或者寻找波束 ID 最接近的预测候选。因此，这一方案不仅需要定义门限，还需要明确“哪些结果相互比较”。比较两边排名第一的波束，和在前 K 个候选中寻找匹配对象，是不同的测试规则，不能混成一个未加说明的“联合准确率”。对于实现而言，波束 ID 容差也需要谨慎定义。ID 本身是标识，编号接近未必代表波束方向或辐射特性接近。若采用非零容差，应交代码本中的对应关系及其物理意义；初步原型可以先要求 ID 完全一致，再评价 RSRP 误差。这属于实现建议，不是专利规定的通用方案。</w:t>
      </w:r>
    </w:p>
    <w:p w14:paraId="6453F382">
      <w:pPr>
        <w:numPr>
          <w:numId w:val="0"/>
        </w:numPr>
        <w:ind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第三，对不同排名的波束，可以采用不同的容差要求。专利允许为前 K 个波束分别定义容差框，也提出最强波束采用较严格范围、后续候选采用较宽范围的实施方式；还描述了通过多数满足条件的结果形成判断的选择。这一机制提供了按任务重要性设计判据的空间。但“最强波束通过”“至少一个候选通过”和“多数候选通过”对应不同的验收强度。实际测试需要预先固定规则，并保留每个候选的结果，才能解释最终结论。</w:t>
      </w:r>
    </w:p>
    <w:p w14:paraId="1E38E6D6">
      <w:pPr>
        <w:numPr>
          <w:numId w:val="0"/>
        </w:numPr>
        <w:ind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第四，特定情况下允许复测，以考虑短时间内的功率变化。图 18 和相关权利要求描述了一种情况：第一次比较时，预测与实测波束 ID 相同，但 RSRP 超出容差；此时可以进行第二次测量，并依据新结果判断。原文也讨论了两次检查中的波束匹配和功率精度如何组合。这不等于允许一直测到通过。实现复测机制时，需要明确触发条件、时间间隔、次数和结果汇总方式，并保留首次失败记录。否则，复测可能改变测试结果的统计意义。这些具体参数仍需要研究者自行设计和验证。</w:t>
      </w:r>
    </w:p>
    <w:p w14:paraId="585EE8DB">
      <w:pPr>
        <w:numPr>
          <w:numId w:val="0"/>
        </w:numPr>
        <w:ind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第五，可靠参考测量是联合判定成立的前提。专利使用“genie beam”描述在较理想、受控条件下取得的参考波束，并讨论通过专用测试设备与环境获得参考结果；它也提出由网络在预测波束上配置参考信号，让终端补充实测，但会增加测量开销。这里应把“参考最强波束”的范围说清楚：如果只测量了部分波束，得到的是该测量集合内的最强波束，不能自动视为完整码本中的最强波束。预测集合和参考测量集合是否一致，会直接影响命中率与验收结论。</w:t>
      </w:r>
    </w:p>
    <w:p w14:paraId="6BC5ACC6">
      <w:pPr>
        <w:numPr>
          <w:numId w:val="0"/>
        </w:numPr>
        <w:ind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执行位置方面，专利包含终端开展测量和判断的方案，也允许 AI 模型位于终端或服务基站；容差可以由终端预先定义，或由基站、网络提供。因此，不能将全部实施方式都概括为手机独立完成。</w:t>
      </w:r>
    </w:p>
    <w:p w14:paraId="52A35FBA">
      <w:pPr>
        <w:numPr>
          <w:numId w:val="0"/>
        </w:numPr>
        <w:ind w:leftChars="0"/>
        <w:rPr>
          <w:rFonts w:hint="eastAsia"/>
          <w:b/>
          <w:bCs/>
          <w:lang w:val="en-US" w:eastAsia="zh"/>
          <w:woUserID w:val="1"/>
        </w:rPr>
      </w:pPr>
      <w:r>
        <w:rPr>
          <w:rFonts w:hint="eastAsia"/>
          <w:b/>
          <w:bCs/>
          <w:lang w:val="en-US" w:eastAsia="zh"/>
          <w:woUserID w:val="1"/>
        </w:rPr>
        <w:t>（3）研究启示、成熟度与应用思路</w:t>
      </w:r>
    </w:p>
    <w:p w14:paraId="7788ABD4">
      <w:pPr>
        <w:numPr>
          <w:numId w:val="0"/>
        </w:numPr>
        <w:ind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这篇专利的启示是，通信 AI 验收需要同时检查功能选择与相关数值预测。对于波束管理，“找到了目标波束”和“准确估计了该波束的功率”分别影响不同判断，应该建立联系，同时保留各自的测试结果。基于这一思路，可以设计一个波束预测联合评价原型。以下是应用建议，不是专利已经完成的实现。</w:t>
      </w:r>
    </w:p>
    <w:p w14:paraId="7C5EC9F5">
      <w:pPr>
        <w:numPr>
          <w:numId w:val="0"/>
        </w:numPr>
        <w:ind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先准备覆盖目标波束集合的仿真或实测 RSRP 数据，以其中一部分作为模型输入，保留更完整的数据用于参考。记录模型预测的波束 ID、RSRP 和排名，分别计算波束命中情况及功率误差，再按照固定配对规则进行联合判定。</w:t>
      </w:r>
    </w:p>
    <w:p w14:paraId="692DE1D1">
      <w:pPr>
        <w:numPr>
          <w:numId w:val="0"/>
        </w:numPr>
        <w:ind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随后，对比不同判据的结论：只检查波束命中、只检查功率精度、同时要求两者合格时，分别接受或拒绝了哪些样本。重点分析“波束命中但功率明显失准”等情况，判断联合检查是否补充了单项指标遗漏的信息。</w:t>
      </w:r>
    </w:p>
    <w:p w14:paraId="78924B34">
      <w:pPr>
        <w:numPr>
          <w:numId w:val="0"/>
        </w:numPr>
        <w:ind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最后，引入时间变化，研究复测机制。比较单次判定与限定次数的复测，在误判率、发现问题的时延和测量开销方面有什么变化。若进一步评价通信收益，可增加所选波束相对参考最佳波束的实测功率损失；这一指标属于测试方案的补充，不能与原文的预测功率比较混为一谈。</w:t>
      </w:r>
    </w:p>
    <w:p w14:paraId="233AE8B4">
      <w:pPr>
        <w:numPr>
          <w:numId w:val="0"/>
        </w:numPr>
        <w:ind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研究成熟度方面，这是一份提出具体测试判据及多种实施方式的公开专利申请。相较于较宽泛的模型管理流程，它给出了更明确的比较对象、容差结构和复测条件，但未提供完整数据集、实现代码或证明联合判据优于单项判据的定量实验。容差取值、配对方式和参考测量条件仍需补齐。</w:t>
      </w:r>
    </w:p>
    <w:p w14:paraId="45BA8100">
      <w:pPr>
        <w:numPr>
          <w:numId w:val="0"/>
        </w:numPr>
        <w:ind w:leftChars="0"/>
        <w:rPr>
          <w:rFonts w:hint="eastAsia"/>
          <w:lang w:val="en-US" w:eastAsia="zh"/>
        </w:rPr>
      </w:pPr>
    </w:p>
    <w:p w14:paraId="3E22FD1F"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ascii="宋体" w:hAnsi="宋体" w:eastAsia="宋体" w:cs="宋体"/>
          <w:woUserID w:val="1"/>
        </w:rPr>
      </w:pPr>
      <w:r>
        <w:rPr>
          <w:rFonts w:ascii="宋体" w:hAnsi="宋体" w:eastAsia="宋体" w:cs="宋体"/>
          <w:woUserID w:val="1"/>
        </w:rPr>
        <w:t>论文与开源框架：OAIC-T 自动化通信 AI 测试系统</w:t>
      </w:r>
    </w:p>
    <w:p w14:paraId="040D6336">
      <w:pPr>
        <w:keepNext w:val="0"/>
        <w:keepLines w:val="0"/>
        <w:widowControl/>
        <w:suppressLineNumbers w:val="0"/>
        <w:bidi w:val="0"/>
        <w:rPr>
          <w:woUserID w:val="1"/>
        </w:rPr>
      </w:pPr>
      <w:r>
        <w:rPr>
          <w:woUserID w:val="1"/>
        </w:rPr>
        <w:t>论文：AI Testing Framework for Next-G O-RAN Networks: Requirements, Design, and Research Opportunities</w:t>
      </w:r>
      <w:r>
        <w:rPr>
          <w:woUserID w:val="1"/>
        </w:rPr>
        <w:br w:type="textWrapping"/>
      </w:r>
      <w:r>
        <w:rPr>
          <w:woUserID w:val="1"/>
        </w:rPr>
        <w:t>中文译名：面向下一代 O-RAN 网络的 AI 测试框架：需求、设计与研究机会。</w:t>
      </w:r>
    </w:p>
    <w:p w14:paraId="528D25D7">
      <w:pPr>
        <w:keepNext w:val="0"/>
        <w:keepLines w:val="0"/>
        <w:widowControl/>
        <w:suppressLineNumbers w:val="0"/>
        <w:bidi w:val="0"/>
        <w:rPr>
          <w:woUserID w:val="1"/>
        </w:rPr>
      </w:pPr>
      <w:r>
        <w:rPr>
          <w:woUserID w:val="1"/>
        </w:rPr>
        <w:t>作者：Bo Tang、Vijay K. Shah、Vuk Marojevic、Jeffrey H. Reed。</w:t>
      </w:r>
    </w:p>
    <w:p w14:paraId="44CDE34A">
      <w:pPr>
        <w:keepNext w:val="0"/>
        <w:keepLines w:val="0"/>
        <w:widowControl/>
        <w:suppressLineNumbers w:val="0"/>
        <w:bidi w:val="0"/>
        <w:rPr>
          <w:woUserID w:val="1"/>
        </w:rPr>
      </w:pPr>
      <w:r>
        <w:rPr>
          <w:woUserID w:val="1"/>
        </w:rPr>
        <w:t>论文页面：</w:t>
      </w:r>
      <w:r>
        <w:rPr>
          <w:woUserID w:val="1"/>
        </w:rPr>
        <w:fldChar w:fldCharType="begin"/>
      </w:r>
      <w:r>
        <w:rPr>
          <w:woUserID w:val="1"/>
        </w:rPr>
        <w:instrText xml:space="preserve"> HYPERLINK "https://arxiv.org/abs/2211.03979?utm_source=chatgpt.com" </w:instrText>
      </w:r>
      <w:r>
        <w:rPr>
          <w:woUserID w:val="1"/>
        </w:rPr>
        <w:fldChar w:fldCharType="separate"/>
      </w:r>
      <w:r>
        <w:rPr>
          <w:rStyle w:val="10"/>
          <w:woUserID w:val="1"/>
        </w:rPr>
        <w:t>arXiv</w:t>
      </w:r>
      <w:r>
        <w:rPr>
          <w:woUserID w:val="1"/>
        </w:rPr>
        <w:fldChar w:fldCharType="end"/>
      </w:r>
      <w:r>
        <w:rPr>
          <w:woUserID w:val="1"/>
        </w:rPr>
        <w:br w:type="textWrapping"/>
      </w:r>
      <w:r>
        <w:rPr>
          <w:woUserID w:val="1"/>
        </w:rPr>
        <w:t>开源仓库：</w:t>
      </w:r>
      <w:r>
        <w:rPr>
          <w:woUserID w:val="1"/>
        </w:rPr>
        <w:fldChar w:fldCharType="begin"/>
      </w:r>
      <w:r>
        <w:rPr>
          <w:woUserID w:val="1"/>
        </w:rPr>
        <w:instrText xml:space="preserve"> HYPERLINK "https://github.com/openaicellular/oaic-t?utm_source=chatgpt.com" </w:instrText>
      </w:r>
      <w:r>
        <w:rPr>
          <w:woUserID w:val="1"/>
        </w:rPr>
        <w:fldChar w:fldCharType="separate"/>
      </w:r>
      <w:r>
        <w:rPr>
          <w:rStyle w:val="10"/>
          <w:woUserID w:val="1"/>
        </w:rPr>
        <w:t>openaicellular/oaic-t</w:t>
      </w:r>
      <w:r>
        <w:rPr>
          <w:woUserID w:val="1"/>
        </w:rPr>
        <w:fldChar w:fldCharType="end"/>
      </w:r>
    </w:p>
    <w:p w14:paraId="472E8DD8">
      <w:pPr>
        <w:keepNext w:val="0"/>
        <w:keepLines w:val="0"/>
        <w:widowControl/>
        <w:suppressLineNumbers w:val="0"/>
        <w:bidi w:val="0"/>
        <w:rPr>
          <w:b/>
          <w:bCs/>
          <w:woUserID w:val="1"/>
        </w:rPr>
      </w:pPr>
      <w:r>
        <w:rPr>
          <w:b/>
          <w:bCs/>
          <w:woUserID w:val="1"/>
        </w:rPr>
        <w:t>（1）技术概述</w:t>
      </w:r>
    </w:p>
    <w:p w14:paraId="78B5DE5A">
      <w:pPr>
        <w:keepNext w:val="0"/>
        <w:keepLines w:val="0"/>
        <w:widowControl/>
        <w:suppressLineNumbers w:val="0"/>
        <w:bidi w:val="0"/>
        <w:ind w:firstLine="420" w:firstLineChars="0"/>
        <w:rPr>
          <w:woUserID w:val="1"/>
        </w:rPr>
      </w:pPr>
      <w:r>
        <w:rPr>
          <w:woUserID w:val="1"/>
        </w:rPr>
        <w:t>这篇论文关注通信 AI 控制程序如何接受系统性测试。模型在离线数据上表现良好，并不能充分说明它接入无线网络后，在不同用户数量、业务负载和环境条件下，都能产生合适的控制行为。因此，作者提出 OAIC-T，将环境准备、测试执行、数据记录和结果汇总组织为自动化流程，并考虑利用 AI 搜索更有测试价值的输入。</w:t>
      </w:r>
    </w:p>
    <w:p w14:paraId="0E73E13B">
      <w:pPr>
        <w:keepNext w:val="0"/>
        <w:keepLines w:val="0"/>
        <w:widowControl/>
        <w:suppressLineNumbers w:val="0"/>
        <w:bidi w:val="0"/>
        <w:ind w:firstLine="420" w:firstLineChars="0"/>
        <w:rPr>
          <w:woUserID w:val="1"/>
        </w:rPr>
      </w:pPr>
      <w:r>
        <w:rPr>
          <w:woUserID w:val="1"/>
        </w:rPr>
        <w:t>其主要对象是 O-RAN 中的智能控制应用。理解这里的层级，需要区分：</w:t>
      </w:r>
    </w:p>
    <w:p w14:paraId="49287F34">
      <w:pPr>
        <w:keepNext w:val="0"/>
        <w:keepLines w:val="0"/>
        <w:widowControl/>
        <w:suppressLineNumbers w:val="0"/>
        <w:bidi w:val="0"/>
        <w:ind w:firstLine="420" w:firstLineChars="0"/>
        <w:rPr>
          <w:woUserID w:val="1"/>
        </w:rPr>
      </w:pPr>
      <w:r>
        <w:rPr>
          <w:woUserID w:val="1"/>
        </w:rPr>
        <w:t>xApp 是运行在近实时无线接入网智能控制器（Near-RT RIC）上的控制程序，可以根据网络状态产生控制决定；rApp 则面向非实时管理与优化。OAIC-T 位于测试侧，向这些程序及其控制的网络系统施加测试条件、采集响应。终端可以参与产生业务和测量，但这并不意味着被测 AI 模型运行在手机中。</w:t>
      </w:r>
    </w:p>
    <w:p w14:paraId="331B7F93">
      <w:pPr>
        <w:keepNext w:val="0"/>
        <w:keepLines w:val="0"/>
        <w:widowControl/>
        <w:suppressLineNumbers w:val="0"/>
        <w:bidi w:val="0"/>
        <w:ind w:firstLine="420" w:firstLineChars="0"/>
        <w:rPr>
          <w:woUserID w:val="1"/>
        </w:rPr>
      </w:pPr>
      <w:r>
        <w:rPr>
          <w:woUserID w:val="1"/>
        </w:rPr>
        <w:t>框架采用“服务器—测试执行节点”的组织方式。服务器负责安排任务，执行节点 Actor 负责执行具体测试动作，再将结果返回服务器。这里的 Actor 是测试进程或节点，与强化学习中的策略网络不是同一个概念。</w:t>
      </w:r>
    </w:p>
    <w:p w14:paraId="58C01A61">
      <w:pPr>
        <w:keepNext w:val="0"/>
        <w:keepLines w:val="0"/>
        <w:widowControl/>
        <w:suppressLineNumbers w:val="0"/>
        <w:bidi w:val="0"/>
        <w:ind w:firstLine="420" w:firstLineChars="0"/>
        <w:rPr>
          <w:woUserID w:val="1"/>
        </w:rPr>
      </w:pPr>
      <w:r>
        <w:rPr>
          <w:woUserID w:val="1"/>
        </w:rPr>
        <w:t>输入与输出需要区分测试框架和被测控制程序：</w:t>
      </w:r>
    </w:p>
    <w:tbl>
      <w:tblPr>
        <w:tblW w:w="5000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1"/>
        <w:gridCol w:w="3751"/>
        <w:gridCol w:w="2414"/>
      </w:tblGrid>
      <w:tr w14:paraId="5E27E6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301" w:type="pct"/>
            <w:shd w:val="clear"/>
            <w:vAlign w:val="center"/>
          </w:tcPr>
          <w:p w14:paraId="3DBC32CF">
            <w:pPr>
              <w:keepNext w:val="0"/>
              <w:keepLines w:val="0"/>
              <w:widowControl/>
              <w:suppressLineNumbers w:val="0"/>
              <w:bidi w:val="0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对象</w:t>
            </w:r>
          </w:p>
        </w:tc>
        <w:tc>
          <w:tcPr>
            <w:tcW w:w="2215" w:type="pct"/>
            <w:shd w:val="clear"/>
            <w:vAlign w:val="center"/>
          </w:tcPr>
          <w:p w14:paraId="6B671262">
            <w:pPr>
              <w:keepNext w:val="0"/>
              <w:keepLines w:val="0"/>
              <w:widowControl/>
              <w:suppressLineNumbers w:val="0"/>
              <w:bidi w:val="0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输入</w:t>
            </w:r>
          </w:p>
        </w:tc>
        <w:tc>
          <w:tcPr>
            <w:tcW w:w="1410" w:type="pct"/>
            <w:shd w:val="clear"/>
            <w:vAlign w:val="center"/>
          </w:tcPr>
          <w:p w14:paraId="6FE381AD">
            <w:pPr>
              <w:keepNext w:val="0"/>
              <w:keepLines w:val="0"/>
              <w:widowControl/>
              <w:suppressLineNumbers w:val="0"/>
              <w:bidi w:val="0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输出及用途</w:t>
            </w:r>
          </w:p>
        </w:tc>
      </w:tr>
      <w:tr w14:paraId="7D41EF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01" w:type="pct"/>
            <w:shd w:val="clear"/>
            <w:vAlign w:val="center"/>
          </w:tcPr>
          <w:p w14:paraId="1C6EE1EF">
            <w:pPr>
              <w:keepNext w:val="0"/>
              <w:keepLines w:val="0"/>
              <w:widowControl/>
              <w:suppressLineNumbers w:val="0"/>
              <w:bidi w:val="0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OAIC-T 测试框架</w:t>
            </w:r>
          </w:p>
        </w:tc>
        <w:tc>
          <w:tcPr>
            <w:tcW w:w="2215" w:type="pct"/>
            <w:shd w:val="clear"/>
            <w:vAlign w:val="center"/>
          </w:tcPr>
          <w:p w14:paraId="122BCD72">
            <w:pPr>
              <w:keepNext w:val="0"/>
              <w:keepLines w:val="0"/>
              <w:widowControl/>
              <w:suppressLineNumbers w:val="0"/>
              <w:bidi w:val="0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环境配置、测试脚本、动作参数，以及可选测试数据</w:t>
            </w:r>
          </w:p>
        </w:tc>
        <w:tc>
          <w:tcPr>
            <w:tcW w:w="1410" w:type="pct"/>
            <w:shd w:val="clear"/>
            <w:vAlign w:val="center"/>
          </w:tcPr>
          <w:p w14:paraId="2FF06ED2">
            <w:pPr>
              <w:keepNext w:val="0"/>
              <w:keepLines w:val="0"/>
              <w:widowControl/>
              <w:suppressLineNumbers w:val="0"/>
              <w:bidi w:val="0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测试动作执行结果、日志和性能记录</w:t>
            </w:r>
          </w:p>
        </w:tc>
      </w:tr>
      <w:tr w14:paraId="01B6FE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01" w:type="pct"/>
            <w:shd w:val="clear"/>
            <w:vAlign w:val="center"/>
          </w:tcPr>
          <w:p w14:paraId="35F54162">
            <w:pPr>
              <w:keepNext w:val="0"/>
              <w:keepLines w:val="0"/>
              <w:widowControl/>
              <w:suppressLineNumbers w:val="0"/>
              <w:bidi w:val="0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被测通信 AI 控制程序</w:t>
            </w:r>
          </w:p>
        </w:tc>
        <w:tc>
          <w:tcPr>
            <w:tcW w:w="2215" w:type="pct"/>
            <w:shd w:val="clear"/>
            <w:vAlign w:val="center"/>
          </w:tcPr>
          <w:p w14:paraId="233D0E1D">
            <w:pPr>
              <w:keepNext w:val="0"/>
              <w:keepLines w:val="0"/>
              <w:widowControl/>
              <w:suppressLineNumbers w:val="0"/>
              <w:bidi w:val="0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网络状态、业务需求或测试侧施加的输入；具体内容取决于控制功能</w:t>
            </w:r>
          </w:p>
        </w:tc>
        <w:tc>
          <w:tcPr>
            <w:tcW w:w="1410" w:type="pct"/>
            <w:shd w:val="clear"/>
            <w:vAlign w:val="center"/>
          </w:tcPr>
          <w:p w14:paraId="764B65B2">
            <w:pPr>
              <w:keepNext w:val="0"/>
              <w:keepLines w:val="0"/>
              <w:widowControl/>
              <w:suppressLineNumbers w:val="0"/>
              <w:bidi w:val="0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控制决策及执行后产生的网络表现</w:t>
            </w:r>
          </w:p>
        </w:tc>
      </w:tr>
      <w:tr w14:paraId="3521A3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01" w:type="pct"/>
            <w:shd w:val="clear"/>
            <w:vAlign w:val="center"/>
          </w:tcPr>
          <w:p w14:paraId="7F3446B0">
            <w:pPr>
              <w:keepNext w:val="0"/>
              <w:keepLines w:val="0"/>
              <w:widowControl/>
              <w:suppressLineNumbers w:val="0"/>
              <w:bidi w:val="0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测试评价环节</w:t>
            </w:r>
          </w:p>
        </w:tc>
        <w:tc>
          <w:tcPr>
            <w:tcW w:w="2215" w:type="pct"/>
            <w:shd w:val="clear"/>
            <w:vAlign w:val="center"/>
          </w:tcPr>
          <w:p w14:paraId="00617640">
            <w:pPr>
              <w:keepNext w:val="0"/>
              <w:keepLines w:val="0"/>
              <w:widowControl/>
              <w:suppressLineNumbers w:val="0"/>
              <w:bidi w:val="0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控制响应、性能指标、基线与预先定义的要求</w:t>
            </w:r>
          </w:p>
        </w:tc>
        <w:tc>
          <w:tcPr>
            <w:tcW w:w="1410" w:type="pct"/>
            <w:shd w:val="clear"/>
            <w:vAlign w:val="center"/>
          </w:tcPr>
          <w:p w14:paraId="2858A092">
            <w:pPr>
              <w:keepNext w:val="0"/>
              <w:keepLines w:val="0"/>
              <w:widowControl/>
              <w:suppressLineNumbers w:val="0"/>
              <w:bidi w:val="0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对功能、性能或异常情况的评价</w:t>
            </w:r>
          </w:p>
        </w:tc>
      </w:tr>
    </w:tbl>
    <w:p w14:paraId="5AD9941B">
      <w:pPr>
        <w:keepNext w:val="0"/>
        <w:keepLines w:val="0"/>
        <w:widowControl/>
        <w:suppressLineNumbers w:val="0"/>
        <w:bidi w:val="0"/>
        <w:ind w:firstLine="420" w:firstLineChars="0"/>
        <w:rPr>
          <w:woUserID w:val="1"/>
        </w:rPr>
      </w:pPr>
      <w:r>
        <w:rPr>
          <w:woUserID w:val="1"/>
        </w:rPr>
        <w:t>论文提出汇总数据速率、时延和丢包等指标，并记录测试动作的通过或失败结果。但具体通信功能怎样判定合格，仍需要配套用例和判据。</w:t>
      </w:r>
    </w:p>
    <w:p w14:paraId="7AF992F1">
      <w:pPr>
        <w:keepNext w:val="0"/>
        <w:keepLines w:val="0"/>
        <w:widowControl/>
        <w:suppressLineNumbers w:val="0"/>
        <w:bidi w:val="0"/>
        <w:rPr>
          <w:b/>
          <w:bCs/>
          <w:woUserID w:val="1"/>
        </w:rPr>
      </w:pPr>
      <w:r>
        <w:rPr>
          <w:b/>
          <w:bCs/>
          <w:woUserID w:val="1"/>
        </w:rPr>
        <w:t>（2）关键点</w:t>
      </w:r>
    </w:p>
    <w:p w14:paraId="27814912">
      <w:pPr>
        <w:keepNext w:val="0"/>
        <w:keepLines w:val="0"/>
        <w:widowControl/>
        <w:suppressLineNumbers w:val="0"/>
        <w:bidi w:val="0"/>
        <w:ind w:firstLine="420" w:firstLineChars="0"/>
        <w:rPr>
          <w:woUserID w:val="1"/>
        </w:rPr>
      </w:pPr>
      <w:r>
        <w:rPr>
          <w:woUserID w:val="1"/>
        </w:rPr>
        <w:t>第一，通过配置文件和测试脚本，将手工操作转化为可重复执行的任务。环境配置描述测试需要哪些节点和资源；脚本描述按什么顺序执行哪些动作。框架采用关键字驱动方式，将动作名称对应到执行程序。服务器解析任务后交给指定 Actor 执行，再收集结果。例如，仓库中的业务测试脚本包含连接测试 xApp、创建网络命名空间、启动虚拟 UE、启动 iperf、产生业务和停止相关进程等动作。这说明其自动化落点是具体的环境控制与测试执行，而不只是给出一张系统架构图。可以在仓库查看</w:t>
      </w:r>
      <w:r>
        <w:rPr>
          <w:color w:val="auto"/>
          <w:u w:val="none"/>
          <w:woUserID w:val="1"/>
        </w:rPr>
        <w:t>业务测试脚本</w:t>
      </w:r>
      <w:r>
        <w:rPr>
          <w:woUserID w:val="1"/>
        </w:rPr>
        <w:t>。不过，脚本能够重复执行，只解决了复现的一部分。比较模型版本时，还需固定或记录随机种子、网络配置、初始状态和运行版本，才能判断结果差异来自哪里。</w:t>
      </w:r>
    </w:p>
    <w:p w14:paraId="5A3FF27B">
      <w:pPr>
        <w:keepNext w:val="0"/>
        <w:keepLines w:val="0"/>
        <w:widowControl/>
        <w:suppressLineNumbers w:val="0"/>
        <w:bidi w:val="0"/>
        <w:ind w:firstLine="420" w:firstLineChars="0"/>
        <w:rPr>
          <w:woUserID w:val="1"/>
        </w:rPr>
      </w:pPr>
      <w:r>
        <w:rPr>
          <w:woUserID w:val="1"/>
        </w:rPr>
        <w:t>第二，分布式 Actor 用于组织多用户、多业务测试。论文考虑由多个 Actor 在不同机器上执行任务。例如，测试资源分配控制程序时，可以让不同节点提出不同优先级或服务质量要求，观察控制程序在组合负载下的表现。服务器负责管理连接、节点资源和测试状态。</w:t>
      </w:r>
    </w:p>
    <w:p w14:paraId="43452D58">
      <w:pPr>
        <w:keepNext w:val="0"/>
        <w:keepLines w:val="0"/>
        <w:widowControl/>
        <w:suppressLineNumbers w:val="0"/>
        <w:bidi w:val="0"/>
        <w:rPr>
          <w:woUserID w:val="1"/>
        </w:rPr>
      </w:pPr>
      <w:r>
        <w:rPr>
          <w:woUserID w:val="1"/>
        </w:rPr>
        <w:t>需要区分“多个节点能并行执行”和“多个动作能精确同步”。若测试要求业务同时启动、干扰同时出现或事件按固定顺序触发，还需要明确同步、时间戳与调度机制，不能仅依据分布式架构认定这些能力已经具备。</w:t>
      </w:r>
    </w:p>
    <w:p w14:paraId="586B8427">
      <w:pPr>
        <w:keepNext w:val="0"/>
        <w:keepLines w:val="0"/>
        <w:widowControl/>
        <w:suppressLineNumbers w:val="0"/>
        <w:bidi w:val="0"/>
        <w:ind w:firstLine="420" w:firstLineChars="0"/>
        <w:rPr>
          <w:woUserID w:val="1"/>
        </w:rPr>
      </w:pPr>
      <w:r>
        <w:rPr>
          <w:woUserID w:val="1"/>
        </w:rPr>
        <w:t>第三，框架既考虑执行既定用例，也考虑动态生成测试输入。论文讨论了敏感性分析、AI 模糊测试、对抗学习和强化学习等方法。敏感性分析通过受控改变少数参数观察响应；模糊测试通过扰动输入探索问题；学习方法则可根据系统反馈调整后续测试。它们属于可接入框架的测试技术，不是每项测试都必须使用的算法。这里存在两种不同的 AI：被测 AI 负责通信功能，测试侧 AI 负责选择或生成测试条件。后者的研究目标可以是更快发现退化、更好覆盖边界条件，而不是提高被测模型的业务性能。</w:t>
      </w:r>
    </w:p>
    <w:p w14:paraId="04EB322A">
      <w:pPr>
        <w:keepNext w:val="0"/>
        <w:keepLines w:val="0"/>
        <w:widowControl/>
        <w:suppressLineNumbers w:val="0"/>
        <w:bidi w:val="0"/>
        <w:ind w:firstLine="420" w:firstLineChars="0"/>
        <w:rPr>
          <w:woUserID w:val="1"/>
        </w:rPr>
      </w:pPr>
      <w:r>
        <w:rPr>
          <w:woUserID w:val="1"/>
        </w:rPr>
        <w:t xml:space="preserve">仓库后续实现已经超出论文中的框架描述。其 </w:t>
      </w:r>
      <w:r>
        <w:rPr>
          <w:color w:val="auto"/>
          <w:u w:val="none"/>
          <w:woUserID w:val="1"/>
        </w:rPr>
        <w:t>2.0 版本说明</w:t>
      </w:r>
      <w:r>
        <w:rPr>
          <w:woUserID w:val="1"/>
        </w:rPr>
        <w:t>列出了 RANFusion 仿真器、InfluxDB 指标存储和基于遗传算法的流量生成；代码中也存在</w:t>
      </w:r>
      <w:r>
        <w:rPr>
          <w:color w:val="auto"/>
          <w:u w:val="none"/>
          <w:woUserID w:val="1"/>
        </w:rPr>
        <w:t>遗传算法模块</w:t>
      </w:r>
      <w:r>
        <w:rPr>
          <w:woUserID w:val="1"/>
        </w:rPr>
        <w:t>。但代码存在不等于已经证明它能高效搜索失效场景。实际采用时，需要核对适应度函数的优化方向、反馈指标和被测算法的连接方式，再用实验判断搜索是否符合目标。</w:t>
      </w:r>
    </w:p>
    <w:p w14:paraId="578E6107">
      <w:pPr>
        <w:keepNext w:val="0"/>
        <w:keepLines w:val="0"/>
        <w:widowControl/>
        <w:suppressLineNumbers w:val="0"/>
        <w:bidi w:val="0"/>
        <w:ind w:firstLine="420" w:firstLineChars="0"/>
        <w:rPr>
          <w:woUserID w:val="1"/>
        </w:rPr>
      </w:pPr>
      <w:r>
        <w:rPr>
          <w:woUserID w:val="1"/>
        </w:rPr>
        <w:t>第四，论文设计的软件与射频两条测试路径，需要与实际版本支持分开描述。论文提出软件适配器和软件定义无线电（SDR）适配器：前者通过软件接口交互，后者通过无线测试信号参与网络测试。官方使用指南提供了 ZeroMQ 虚拟无线电路径，让基站与 UE 在同一机器上运行，并明确将 SDR 模式列为待发布内容。</w:t>
      </w:r>
    </w:p>
    <w:p w14:paraId="54554528">
      <w:pPr>
        <w:keepNext w:val="0"/>
        <w:keepLines w:val="0"/>
        <w:widowControl/>
        <w:suppressLineNumbers w:val="0"/>
        <w:bidi w:val="0"/>
        <w:ind w:firstLine="420" w:firstLineChars="0"/>
        <w:rPr>
          <w:woUserID w:val="1"/>
        </w:rPr>
      </w:pPr>
      <w:r>
        <w:rPr>
          <w:woUserID w:val="1"/>
        </w:rPr>
        <w:t>因此，按该指南开展基础自动化实验，可以先不使用 SDR 硬件；但软件测试通过，不能直接推导为真实射频环境下合格。还需注意文档与代码版本的差异。</w:t>
      </w:r>
      <w:r>
        <w:rPr>
          <w:color w:val="auto"/>
          <w:u w:val="none"/>
          <w:woUserID w:val="1"/>
        </w:rPr>
        <w:t>2.1 版本说明</w:t>
      </w:r>
      <w:r>
        <w:rPr>
          <w:woUserID w:val="1"/>
        </w:rPr>
        <w:t>新增了 OpenAirInterface 测试支持，相应目录中有启动和停止基站、UE 的动作代码。不能因为旧指南介绍的是 srsRAN，就断言整个当前仓库只支持这一条路径；同样，新增动作代码也不足以证明所有硬件测试已完成。</w:t>
      </w:r>
    </w:p>
    <w:p w14:paraId="4EB340D2">
      <w:pPr>
        <w:keepNext w:val="0"/>
        <w:keepLines w:val="0"/>
        <w:widowControl/>
        <w:suppressLineNumbers w:val="0"/>
        <w:bidi w:val="0"/>
        <w:ind w:firstLine="420" w:firstLineChars="0"/>
        <w:rPr>
          <w:woUserID w:val="1"/>
        </w:rPr>
      </w:pPr>
      <w:r>
        <w:rPr>
          <w:woUserID w:val="1"/>
        </w:rPr>
        <w:t>第五，自动记录结果和自动判定算法合格，是两个需要衔接的环节。框架负责执行动作并获取结果。某个动作“成功”，可能只是 UE 进程启动成功或业务生成完成；算法是否合格，则还要检查响应是否正确、时延是否达标、性能是否相对基线退化等。因此，完整验收系统需要在自动化框架之上补充判定模块。例如，对资源分配功能定义业务达标率，对波束预测功能定义预测误差与波束选择要求，再将指标与具体场景、模型版本关联。这个判定模块是应用 OAIC-T 时需要进一步设计的内容。</w:t>
      </w:r>
    </w:p>
    <w:p w14:paraId="595BC2FB">
      <w:pPr>
        <w:keepNext w:val="0"/>
        <w:keepLines w:val="0"/>
        <w:widowControl/>
        <w:suppressLineNumbers w:val="0"/>
        <w:bidi w:val="0"/>
        <w:rPr>
          <w:b/>
          <w:bCs/>
          <w:woUserID w:val="1"/>
        </w:rPr>
      </w:pPr>
      <w:r>
        <w:rPr>
          <w:b/>
          <w:bCs/>
          <w:woUserID w:val="1"/>
        </w:rPr>
        <w:t>（3）研究启示、成熟度与应用思路</w:t>
      </w:r>
    </w:p>
    <w:p w14:paraId="7ADB1267">
      <w:pPr>
        <w:keepNext w:val="0"/>
        <w:keepLines w:val="0"/>
        <w:widowControl/>
        <w:suppressLineNumbers w:val="0"/>
        <w:bidi w:val="0"/>
        <w:ind w:firstLine="420" w:firstLineChars="0"/>
        <w:rPr>
          <w:woUserID w:val="1"/>
        </w:rPr>
      </w:pPr>
      <w:r>
        <w:rPr>
          <w:woUserID w:val="1"/>
        </w:rPr>
        <w:t>OAIC-T 的主要价值，是提供“如何把测试组织起来”的实现参考。前面几篇苹果专利更多关注验证对象、比较规则和模型管理，而 OAIC-T 补充了脚本执行、测试节点管理和数据记录这一层。一个可行的应用方式，是先建立范围明确的自动化测试原型。以下属于基于框架提出的实施建议。</w:t>
      </w:r>
    </w:p>
    <w:p w14:paraId="38079C84">
      <w:pPr>
        <w:keepNext w:val="0"/>
        <w:keepLines w:val="0"/>
        <w:widowControl/>
        <w:suppressLineNumbers w:val="0"/>
        <w:bidi w:val="0"/>
        <w:ind w:firstLine="420" w:firstLineChars="0"/>
        <w:rPr>
          <w:woUserID w:val="1"/>
        </w:rPr>
      </w:pPr>
      <w:r>
        <w:rPr>
          <w:woUserID w:val="1"/>
        </w:rPr>
        <w:t>首先，选择一个能控制输入、读取输出的通信功能，并只采用一条环境路径。可以使用虚拟无线电环境、网络仿真器或离线数据回放，不必一开始同时接入完整 O-RAN、真机和射频硬件。</w:t>
      </w:r>
    </w:p>
    <w:p w14:paraId="6269F4D2">
      <w:pPr>
        <w:keepNext w:val="0"/>
        <w:keepLines w:val="0"/>
        <w:widowControl/>
        <w:suppressLineNumbers w:val="0"/>
        <w:bidi w:val="0"/>
        <w:ind w:firstLine="420" w:firstLineChars="0"/>
        <w:rPr>
          <w:woUserID w:val="1"/>
        </w:rPr>
      </w:pPr>
      <w:r>
        <w:rPr>
          <w:woUserID w:val="1"/>
        </w:rPr>
        <w:t>其次，将测试写成固定流程：设置场景，加载指定模型，施加输入，采集输出和性能，计算指标，保存结果。先验证同一场景能稳定重复，再加入不同模型版本的对照测试。验收结果应保留场景配置、模型版本、指标和判断原因。</w:t>
      </w:r>
    </w:p>
    <w:p w14:paraId="7EF7D3E1">
      <w:pPr>
        <w:keepNext w:val="0"/>
        <w:keepLines w:val="0"/>
        <w:widowControl/>
        <w:suppressLineNumbers w:val="0"/>
        <w:bidi w:val="0"/>
        <w:ind w:firstLine="420" w:firstLineChars="0"/>
        <w:rPr>
          <w:woUserID w:val="1"/>
        </w:rPr>
      </w:pPr>
      <w:r>
        <w:rPr>
          <w:woUserID w:val="1"/>
        </w:rPr>
        <w:t>最后，在固定用例运行可靠后，再研究动态测试生成。可以从改变一个参数的敏感性分析开始，比较随机采样与反馈引导搜索，在相同测试次数下发现退化场景的能力。这样能够将框架搭建与测试方法研究逐步衔接。</w:t>
      </w:r>
    </w:p>
    <w:p w14:paraId="261B3D89">
      <w:pPr>
        <w:keepNext w:val="0"/>
        <w:keepLines w:val="0"/>
        <w:widowControl/>
        <w:suppressLineNumbers w:val="0"/>
        <w:bidi w:val="0"/>
        <w:ind w:firstLine="420" w:firstLineChars="0"/>
        <w:rPr>
          <w:woUserID w:val="1"/>
        </w:rPr>
      </w:pPr>
      <w:r>
        <w:rPr>
          <w:woUserID w:val="1"/>
        </w:rPr>
        <w:t>若研究对象是终端侧通信 AI，可以借鉴 OAIC-T 的服务器、执行节点和脚本组织方式，但仍需自行开发终端适配器，获取模型输入输出、控制模型版本或功能开关，并采集无线性能。网络侧 xApp 的接口不能直接替代手机内部模型接口。</w:t>
      </w:r>
    </w:p>
    <w:p w14:paraId="1D589E72">
      <w:pPr>
        <w:keepNext w:val="0"/>
        <w:keepLines w:val="0"/>
        <w:widowControl/>
        <w:suppressLineNumbers w:val="0"/>
        <w:bidi w:val="0"/>
        <w:ind w:firstLine="420" w:firstLineChars="0"/>
        <w:rPr>
          <w:woUserID w:val="1"/>
        </w:rPr>
      </w:pPr>
      <w:r>
        <w:rPr>
          <w:woUserID w:val="1"/>
        </w:rPr>
        <w:t>成熟度方面，这项工作已经具有公开代码和使用文档，比单纯流程设想更接近可修改的研究原型。论文主要提出需求、架构和测试方法，没有给出证明框架全面覆盖通信 AI 失效情况的定量实验。仓库仍在更新；本次查询到的</w:t>
      </w:r>
      <w:r>
        <w:rPr>
          <w:color w:val="auto"/>
          <w:u w:val="none"/>
          <w:woUserID w:val="1"/>
        </w:rPr>
        <w:t>最近一次提交</w:t>
      </w:r>
      <w:r>
        <w:rPr>
          <w:woUserID w:val="1"/>
        </w:rPr>
        <w:t>日期为 2026-06-25，内容是服务器界面重设计。</w:t>
      </w:r>
    </w:p>
    <w:p w14:paraId="039273B2">
      <w:pPr>
        <w:numPr>
          <w:numId w:val="0"/>
        </w:numPr>
        <w:ind w:leftChars="0"/>
        <w:rPr>
          <w:rFonts w:hint="eastAsia"/>
          <w:lang w:val="en-US" w:eastAsia="zh"/>
        </w:rPr>
      </w:pPr>
    </w:p>
    <w:p w14:paraId="563E3866"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ascii="宋体" w:hAnsi="宋体" w:eastAsia="宋体" w:cs="宋体"/>
          <w:woUserID w:val="1"/>
        </w:rPr>
      </w:pPr>
      <w:r>
        <w:rPr>
          <w:rFonts w:ascii="宋体" w:hAnsi="宋体" w:eastAsia="宋体" w:cs="宋体"/>
          <w:woUserID w:val="1"/>
        </w:rPr>
        <w:t>论文：面向毫米波设备 AI 波束管理评估的 OTA 测试</w:t>
      </w:r>
    </w:p>
    <w:p w14:paraId="5B525EB3">
      <w:pPr>
        <w:keepNext w:val="0"/>
        <w:keepLines w:val="0"/>
        <w:widowControl/>
        <w:suppressLineNumbers w:val="0"/>
        <w:bidi w:val="0"/>
        <w:rPr>
          <w:woUserID w:val="1"/>
        </w:rPr>
      </w:pPr>
      <w:r>
        <w:rPr>
          <w:woUserID w:val="1"/>
        </w:rPr>
        <w:t>英文题目：Over-the-Air Testing on Artificial Intelligence-Based Beam Management Evaluation of Millimeter-Wave Devices</w:t>
      </w:r>
    </w:p>
    <w:p w14:paraId="3CB05A8E">
      <w:pPr>
        <w:keepNext w:val="0"/>
        <w:keepLines w:val="0"/>
        <w:widowControl/>
        <w:suppressLineNumbers w:val="0"/>
        <w:bidi w:val="0"/>
        <w:rPr>
          <w:woUserID w:val="1"/>
        </w:rPr>
      </w:pPr>
      <w:r>
        <w:rPr>
          <w:woUserID w:val="1"/>
        </w:rPr>
        <w:t>作者：Zhanyuan Wang、Mengjie Yan、Wentao Zhao、Chong Guo、Zhengbo Jiang、Wei Hong，作者单位涉及东南大学、南京迈特望电子和紫金山实验室。</w:t>
      </w:r>
    </w:p>
    <w:p w14:paraId="35F53164">
      <w:pPr>
        <w:keepNext w:val="0"/>
        <w:keepLines w:val="0"/>
        <w:widowControl/>
        <w:suppressLineNumbers w:val="0"/>
        <w:bidi w:val="0"/>
        <w:rPr>
          <w:woUserID w:val="1"/>
        </w:rPr>
      </w:pPr>
      <w:r>
        <w:rPr>
          <w:woUserID w:val="1"/>
        </w:rPr>
        <w:t>发表信息：2025 年 12 月 4 日在线发表；刊载于 IEEE Transactions on Antennas and Propagation，2026 年第 74 卷第 3 期，2770–2781 页。</w:t>
      </w:r>
    </w:p>
    <w:p w14:paraId="7D1D281A">
      <w:pPr>
        <w:keepNext w:val="0"/>
        <w:keepLines w:val="0"/>
        <w:widowControl/>
        <w:suppressLineNumbers w:val="0"/>
        <w:bidi w:val="0"/>
        <w:rPr>
          <w:woUserID w:val="1"/>
        </w:rPr>
      </w:pPr>
      <w:r>
        <w:rPr>
          <w:woUserID w:val="1"/>
        </w:rPr>
        <w:t>论文链接：</w:t>
      </w:r>
      <w:r>
        <w:rPr>
          <w:woUserID w:val="1"/>
        </w:rPr>
        <w:fldChar w:fldCharType="begin"/>
      </w:r>
      <w:r>
        <w:rPr>
          <w:woUserID w:val="1"/>
        </w:rPr>
        <w:instrText xml:space="preserve"> HYPERLINK "https://ieeexplore.ieee.org/document/11278532/?utm_source=chatgpt.com" </w:instrText>
      </w:r>
      <w:r>
        <w:rPr>
          <w:woUserID w:val="1"/>
        </w:rPr>
        <w:fldChar w:fldCharType="separate"/>
      </w:r>
      <w:r>
        <w:rPr>
          <w:rStyle w:val="10"/>
          <w:woUserID w:val="1"/>
        </w:rPr>
        <w:t>IEEE 官方页面</w:t>
      </w:r>
      <w:r>
        <w:rPr>
          <w:woUserID w:val="1"/>
        </w:rPr>
        <w:fldChar w:fldCharType="end"/>
      </w:r>
      <w:r>
        <w:rPr>
          <w:woUserID w:val="1"/>
        </w:rPr>
        <w:t>；DOI：10.1109/TAP.2025.3637525。</w:t>
      </w:r>
    </w:p>
    <w:p w14:paraId="4162F11D">
      <w:pPr>
        <w:numPr>
          <w:numId w:val="0"/>
        </w:numPr>
        <w:ind w:leftChars="0"/>
        <w:rPr>
          <w:rFonts w:hint="default"/>
          <w:b/>
          <w:bCs/>
          <w:lang w:val="en-US" w:eastAsia="zh"/>
          <w:woUserID w:val="1"/>
        </w:rPr>
      </w:pPr>
      <w:r>
        <w:rPr>
          <w:rFonts w:hint="default"/>
          <w:b/>
          <w:bCs/>
          <w:lang w:val="en-US" w:eastAsia="zh"/>
          <w:woUserID w:val="1"/>
        </w:rPr>
        <w:t>（1）技术概述</w:t>
      </w:r>
    </w:p>
    <w:p w14:paraId="5C731106">
      <w:pPr>
        <w:numPr>
          <w:numId w:val="0"/>
        </w:numPr>
        <w:ind w:leftChars="0" w:firstLine="420" w:firstLineChars="0"/>
        <w:rPr>
          <w:rFonts w:hint="default"/>
          <w:lang w:val="en-US" w:eastAsia="zh"/>
          <w:woUserID w:val="1"/>
        </w:rPr>
      </w:pPr>
      <w:r>
        <w:rPr>
          <w:rFonts w:hint="default"/>
          <w:lang w:val="en-US" w:eastAsia="zh"/>
          <w:woUserID w:val="1"/>
        </w:rPr>
        <w:t>这篇论文关注一个具体问题：终端通过 AI 根据部分波束的测量预测最佳波束时，实验室应该怎样构建无线环境，才能可靠地测试这个预测功能。</w:t>
      </w:r>
    </w:p>
    <w:p w14:paraId="03868944">
      <w:pPr>
        <w:numPr>
          <w:numId w:val="0"/>
        </w:numPr>
        <w:ind w:leftChars="0"/>
        <w:rPr>
          <w:rFonts w:hint="default"/>
          <w:lang w:val="en-US" w:eastAsia="zh"/>
          <w:woUserID w:val="1"/>
        </w:rPr>
      </w:pPr>
      <w:r>
        <w:rPr>
          <w:rFonts w:hint="default"/>
          <w:lang w:val="en-US" w:eastAsia="zh"/>
          <w:woUserID w:val="1"/>
        </w:rPr>
        <w:t>传统波束管理需要测量多个候选波束，再确定适合通信的波束。论文讨论的 AI 空间域波束管理，则将全部候选发射波束称为集合 A，将实际测量的部分波束称为集合 B。终端测量集合 B，模型据此预测集合 A 中各波束的信息，最终选出最佳发射波束。它希望减少测量和参考信号开销。</w:t>
      </w:r>
    </w:p>
    <w:p w14:paraId="5B683BFA">
      <w:pPr>
        <w:numPr>
          <w:numId w:val="0"/>
        </w:numPr>
        <w:ind w:leftChars="0" w:firstLine="420" w:firstLineChars="0"/>
        <w:rPr>
          <w:rFonts w:hint="default"/>
          <w:lang w:val="en-US" w:eastAsia="zh"/>
          <w:woUserID w:val="1"/>
        </w:rPr>
      </w:pPr>
      <w:r>
        <w:rPr>
          <w:rFonts w:hint="default"/>
          <w:lang w:val="en-US" w:eastAsia="zh"/>
          <w:woUserID w:val="1"/>
        </w:rPr>
        <w:t>作者指出，测试这个功能不能只重建“最佳波束已经选好之后”的单波束环境。测试系统还必须准确呈现模型输入所涉及的其他波束，否则输入测量就可能失真，进而影响模型预测。</w:t>
      </w:r>
    </w:p>
    <w:p w14:paraId="5CE0B02F">
      <w:pPr>
        <w:numPr>
          <w:numId w:val="0"/>
        </w:numPr>
        <w:ind w:leftChars="0"/>
        <w:rPr>
          <w:rFonts w:hint="default"/>
          <w:lang w:val="en-US" w:eastAsia="zh"/>
          <w:woUserID w:val="1"/>
        </w:rPr>
      </w:pPr>
      <w:r>
        <w:rPr>
          <w:rFonts w:hint="default"/>
          <w:lang w:val="en-US" w:eastAsia="zh"/>
          <w:woUserID w:val="1"/>
        </w:rPr>
        <w:t>因此，论文提出在多探头暗室，即 MPAC 中，使用一套固定的探头配置重建多个发射波束对应的信道环境，并分别完成两项验证：先检查信道重建是否准确，再检查 AI 模型能否正确预测最佳波束。</w:t>
      </w:r>
    </w:p>
    <w:p w14:paraId="3824762A">
      <w:pPr>
        <w:numPr>
          <w:numId w:val="0"/>
        </w:numPr>
        <w:ind w:leftChars="0" w:firstLine="420" w:firstLineChars="0"/>
        <w:rPr>
          <w:rFonts w:hint="default"/>
          <w:lang w:val="en-US" w:eastAsia="zh"/>
          <w:woUserID w:val="1"/>
        </w:rPr>
      </w:pPr>
      <w:r>
        <w:rPr>
          <w:rFonts w:hint="default"/>
          <w:lang w:val="en-US" w:eastAsia="zh"/>
          <w:woUserID w:val="1"/>
        </w:rPr>
        <w:t>论文实际使用的模型和数据如下，主要依据图 16、表 IV 和实验部分：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3"/>
        <w:gridCol w:w="6822"/>
      </w:tblGrid>
      <w:tr w14:paraId="1C276C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518" w:type="dxa"/>
            <w:shd w:val="clear"/>
            <w:vAlign w:val="center"/>
          </w:tcPr>
          <w:p w14:paraId="6E32B73B">
            <w:pPr>
              <w:numPr>
                <w:numId w:val="0"/>
              </w:numPr>
              <w:ind w:leftChars="0"/>
              <w:rPr>
                <w:rFonts w:hint="default"/>
                <w:lang w:val="en-US" w:eastAsia="zh"/>
                <w:woUserID w:val="1"/>
              </w:rPr>
            </w:pPr>
            <w:r>
              <w:rPr>
                <w:rFonts w:hint="default"/>
                <w:lang w:val="en-US" w:eastAsia="zh"/>
                <w:woUserID w:val="1"/>
              </w:rPr>
              <w:t>项目</w:t>
            </w:r>
          </w:p>
        </w:tc>
        <w:tc>
          <w:tcPr>
            <w:tcW w:w="6777" w:type="dxa"/>
            <w:shd w:val="clear"/>
            <w:vAlign w:val="center"/>
          </w:tcPr>
          <w:p w14:paraId="3B56D0D4">
            <w:pPr>
              <w:numPr>
                <w:numId w:val="0"/>
              </w:numPr>
              <w:ind w:leftChars="0"/>
              <w:rPr>
                <w:rFonts w:hint="default"/>
                <w:lang w:val="en-US" w:eastAsia="zh"/>
                <w:woUserID w:val="1"/>
              </w:rPr>
            </w:pPr>
            <w:r>
              <w:rPr>
                <w:rFonts w:hint="default"/>
                <w:lang w:val="en-US" w:eastAsia="zh"/>
                <w:woUserID w:val="1"/>
              </w:rPr>
              <w:t>论文中的具体设置</w:t>
            </w:r>
          </w:p>
        </w:tc>
      </w:tr>
      <w:tr w14:paraId="6BF6B7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18" w:type="dxa"/>
            <w:shd w:val="clear"/>
            <w:vAlign w:val="center"/>
          </w:tcPr>
          <w:p w14:paraId="4E43F0B2">
            <w:pPr>
              <w:numPr>
                <w:numId w:val="0"/>
              </w:numPr>
              <w:ind w:leftChars="0"/>
              <w:rPr>
                <w:rFonts w:hint="default"/>
                <w:lang w:val="en-US" w:eastAsia="zh"/>
                <w:woUserID w:val="1"/>
              </w:rPr>
            </w:pPr>
            <w:r>
              <w:rPr>
                <w:rFonts w:hint="default"/>
                <w:lang w:val="en-US" w:eastAsia="zh"/>
                <w:woUserID w:val="1"/>
              </w:rPr>
              <w:t>功能位置</w:t>
            </w:r>
          </w:p>
        </w:tc>
        <w:tc>
          <w:tcPr>
            <w:tcW w:w="6777" w:type="dxa"/>
            <w:shd w:val="clear"/>
            <w:vAlign w:val="center"/>
          </w:tcPr>
          <w:p w14:paraId="2692AFA3">
            <w:pPr>
              <w:numPr>
                <w:numId w:val="0"/>
              </w:numPr>
              <w:ind w:leftChars="0"/>
              <w:rPr>
                <w:rFonts w:hint="default"/>
                <w:lang w:val="en-US" w:eastAsia="zh"/>
                <w:woUserID w:val="1"/>
              </w:rPr>
            </w:pPr>
            <w:r>
              <w:rPr>
                <w:rFonts w:hint="default"/>
                <w:lang w:val="en-US" w:eastAsia="zh"/>
                <w:woUserID w:val="1"/>
              </w:rPr>
              <w:t>UE 侧的空间域波束预测功能</w:t>
            </w:r>
          </w:p>
        </w:tc>
      </w:tr>
      <w:tr w14:paraId="692BFD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18" w:type="dxa"/>
            <w:shd w:val="clear"/>
            <w:vAlign w:val="center"/>
          </w:tcPr>
          <w:p w14:paraId="50F44E77">
            <w:pPr>
              <w:numPr>
                <w:numId w:val="0"/>
              </w:numPr>
              <w:ind w:leftChars="0"/>
              <w:rPr>
                <w:rFonts w:hint="default"/>
                <w:lang w:val="en-US" w:eastAsia="zh"/>
                <w:woUserID w:val="1"/>
              </w:rPr>
            </w:pPr>
            <w:r>
              <w:rPr>
                <w:rFonts w:hint="default"/>
                <w:lang w:val="en-US" w:eastAsia="zh"/>
                <w:woUserID w:val="1"/>
              </w:rPr>
              <w:t>全部候选波束</w:t>
            </w:r>
          </w:p>
        </w:tc>
        <w:tc>
          <w:tcPr>
            <w:tcW w:w="6777" w:type="dxa"/>
            <w:shd w:val="clear"/>
            <w:vAlign w:val="center"/>
          </w:tcPr>
          <w:p w14:paraId="7047F31E">
            <w:pPr>
              <w:numPr>
                <w:numId w:val="0"/>
              </w:numPr>
              <w:ind w:leftChars="0"/>
              <w:rPr>
                <w:rFonts w:hint="default"/>
                <w:lang w:val="en-US" w:eastAsia="zh"/>
                <w:woUserID w:val="1"/>
              </w:rPr>
            </w:pPr>
            <w:r>
              <w:rPr>
                <w:rFonts w:hint="default"/>
                <w:lang w:val="en-US" w:eastAsia="zh"/>
                <w:woUserID w:val="1"/>
              </w:rPr>
              <w:t>集合 A，共 32 个基站发射波束</w:t>
            </w:r>
          </w:p>
        </w:tc>
      </w:tr>
      <w:tr w14:paraId="6ED9A2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1518" w:type="dxa"/>
            <w:shd w:val="clear"/>
            <w:vAlign w:val="center"/>
          </w:tcPr>
          <w:p w14:paraId="3AEAA1A5">
            <w:pPr>
              <w:numPr>
                <w:numId w:val="0"/>
              </w:numPr>
              <w:ind w:leftChars="0"/>
              <w:rPr>
                <w:rFonts w:hint="default"/>
                <w:lang w:val="en-US" w:eastAsia="zh"/>
                <w:woUserID w:val="1"/>
              </w:rPr>
            </w:pPr>
            <w:r>
              <w:rPr>
                <w:rFonts w:hint="default"/>
                <w:lang w:val="en-US" w:eastAsia="zh"/>
                <w:woUserID w:val="1"/>
              </w:rPr>
              <w:t>输入测量波束</w:t>
            </w:r>
          </w:p>
        </w:tc>
        <w:tc>
          <w:tcPr>
            <w:tcW w:w="6777" w:type="dxa"/>
            <w:shd w:val="clear"/>
            <w:vAlign w:val="center"/>
          </w:tcPr>
          <w:p w14:paraId="6ABE4A03">
            <w:pPr>
              <w:numPr>
                <w:numId w:val="0"/>
              </w:numPr>
              <w:ind w:leftChars="0"/>
              <w:rPr>
                <w:rFonts w:hint="default"/>
                <w:lang w:val="en-US" w:eastAsia="zh"/>
                <w:woUserID w:val="1"/>
              </w:rPr>
            </w:pPr>
            <w:r>
              <w:rPr>
                <w:rFonts w:hint="default"/>
                <w:lang w:val="en-US" w:eastAsia="zh"/>
                <w:woUserID w:val="1"/>
              </w:rPr>
              <w:t>集合 B，共 8 个，编号为 1、7、10、16、17、23、26、32</w:t>
            </w:r>
          </w:p>
        </w:tc>
      </w:tr>
      <w:tr w14:paraId="564B36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18" w:type="dxa"/>
            <w:shd w:val="clear"/>
            <w:vAlign w:val="center"/>
          </w:tcPr>
          <w:p w14:paraId="19EA6528">
            <w:pPr>
              <w:numPr>
                <w:numId w:val="0"/>
              </w:numPr>
              <w:ind w:leftChars="0"/>
              <w:rPr>
                <w:rFonts w:hint="default"/>
                <w:lang w:val="en-US" w:eastAsia="zh"/>
                <w:woUserID w:val="1"/>
              </w:rPr>
            </w:pPr>
            <w:r>
              <w:rPr>
                <w:rFonts w:hint="default"/>
                <w:lang w:val="en-US" w:eastAsia="zh"/>
                <w:woUserID w:val="1"/>
              </w:rPr>
              <w:t>输入形式</w:t>
            </w:r>
          </w:p>
        </w:tc>
        <w:tc>
          <w:tcPr>
            <w:tcW w:w="6777" w:type="dxa"/>
            <w:shd w:val="clear"/>
            <w:vAlign w:val="center"/>
          </w:tcPr>
          <w:p w14:paraId="68D208DC">
            <w:pPr>
              <w:numPr>
                <w:numId w:val="0"/>
              </w:numPr>
              <w:ind w:leftChars="0"/>
              <w:rPr>
                <w:rFonts w:hint="default"/>
                <w:lang w:val="en-US" w:eastAsia="zh"/>
                <w:woUserID w:val="1"/>
              </w:rPr>
            </w:pPr>
            <w:r>
              <w:rPr>
                <w:rFonts w:hint="default"/>
                <w:lang w:val="en-US" w:eastAsia="zh"/>
                <w:woUserID w:val="1"/>
              </w:rPr>
              <w:t>波束功率信息经预处理转换为排序信息，模型输入维度为 8</w:t>
            </w:r>
          </w:p>
        </w:tc>
      </w:tr>
      <w:tr w14:paraId="104CBA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18" w:type="dxa"/>
            <w:shd w:val="clear"/>
            <w:vAlign w:val="center"/>
          </w:tcPr>
          <w:p w14:paraId="4F3B9135">
            <w:pPr>
              <w:numPr>
                <w:numId w:val="0"/>
              </w:numPr>
              <w:ind w:leftChars="0"/>
              <w:rPr>
                <w:rFonts w:hint="default"/>
                <w:lang w:val="en-US" w:eastAsia="zh"/>
                <w:woUserID w:val="1"/>
              </w:rPr>
            </w:pPr>
            <w:r>
              <w:rPr>
                <w:rFonts w:hint="default"/>
                <w:lang w:val="en-US" w:eastAsia="zh"/>
                <w:woUserID w:val="1"/>
              </w:rPr>
              <w:t>模型结构</w:t>
            </w:r>
          </w:p>
        </w:tc>
        <w:tc>
          <w:tcPr>
            <w:tcW w:w="6777" w:type="dxa"/>
            <w:shd w:val="clear"/>
            <w:vAlign w:val="center"/>
          </w:tcPr>
          <w:p w14:paraId="7A75F6B4">
            <w:pPr>
              <w:numPr>
                <w:numId w:val="0"/>
              </w:numPr>
              <w:ind w:leftChars="0"/>
              <w:rPr>
                <w:rFonts w:hint="default"/>
                <w:lang w:val="en-US" w:eastAsia="zh"/>
                <w:woUserID w:val="1"/>
              </w:rPr>
            </w:pPr>
            <w:r>
              <w:rPr>
                <w:rFonts w:hint="default"/>
                <w:lang w:val="en-US" w:eastAsia="zh"/>
                <w:woUserID w:val="1"/>
              </w:rPr>
              <w:t>两个各含 1000 个神经元的全连接隐藏层，以及一个 32 维全连接输出层</w:t>
            </w:r>
          </w:p>
        </w:tc>
      </w:tr>
      <w:tr w14:paraId="0C3F4A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18" w:type="dxa"/>
            <w:shd w:val="clear"/>
            <w:vAlign w:val="center"/>
          </w:tcPr>
          <w:p w14:paraId="10453314">
            <w:pPr>
              <w:numPr>
                <w:numId w:val="0"/>
              </w:numPr>
              <w:ind w:leftChars="0"/>
              <w:rPr>
                <w:rFonts w:hint="default"/>
                <w:lang w:val="en-US" w:eastAsia="zh"/>
                <w:woUserID w:val="1"/>
              </w:rPr>
            </w:pPr>
            <w:r>
              <w:rPr>
                <w:rFonts w:hint="default"/>
                <w:lang w:val="en-US" w:eastAsia="zh"/>
                <w:woUserID w:val="1"/>
              </w:rPr>
              <w:t>输出与最终判定</w:t>
            </w:r>
          </w:p>
        </w:tc>
        <w:tc>
          <w:tcPr>
            <w:tcW w:w="6777" w:type="dxa"/>
            <w:shd w:val="clear"/>
            <w:vAlign w:val="center"/>
          </w:tcPr>
          <w:p w14:paraId="729A283E">
            <w:pPr>
              <w:numPr>
                <w:numId w:val="0"/>
              </w:numPr>
              <w:ind w:leftChars="0"/>
              <w:rPr>
                <w:rFonts w:hint="default"/>
                <w:lang w:val="en-US" w:eastAsia="zh"/>
                <w:woUserID w:val="1"/>
              </w:rPr>
            </w:pPr>
            <w:r>
              <w:rPr>
                <w:rFonts w:hint="default"/>
                <w:lang w:val="en-US" w:eastAsia="zh"/>
                <w:woUserID w:val="1"/>
              </w:rPr>
              <w:t>输出用于预测全部候选波束的信息，最终提取 Top-1 发射波束编号</w:t>
            </w:r>
          </w:p>
        </w:tc>
      </w:tr>
      <w:tr w14:paraId="1F469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1518" w:type="dxa"/>
            <w:shd w:val="clear"/>
            <w:vAlign w:val="center"/>
          </w:tcPr>
          <w:p w14:paraId="094CF2B7">
            <w:pPr>
              <w:numPr>
                <w:numId w:val="0"/>
              </w:numPr>
              <w:ind w:leftChars="0"/>
              <w:rPr>
                <w:rFonts w:hint="default"/>
                <w:lang w:val="en-US" w:eastAsia="zh"/>
                <w:woUserID w:val="1"/>
              </w:rPr>
            </w:pPr>
            <w:r>
              <w:rPr>
                <w:rFonts w:hint="default"/>
                <w:lang w:val="en-US" w:eastAsia="zh"/>
                <w:woUserID w:val="1"/>
              </w:rPr>
              <w:t>训练方式</w:t>
            </w:r>
          </w:p>
        </w:tc>
        <w:tc>
          <w:tcPr>
            <w:tcW w:w="6777" w:type="dxa"/>
            <w:shd w:val="clear"/>
            <w:vAlign w:val="center"/>
          </w:tcPr>
          <w:p w14:paraId="48C2EBC3">
            <w:pPr>
              <w:numPr>
                <w:numId w:val="0"/>
              </w:numPr>
              <w:ind w:leftChars="0"/>
              <w:rPr>
                <w:rFonts w:hint="default"/>
                <w:lang w:val="en-US" w:eastAsia="zh"/>
                <w:woUserID w:val="1"/>
              </w:rPr>
            </w:pPr>
            <w:r>
              <w:rPr>
                <w:rFonts w:hint="default"/>
                <w:lang w:val="en-US" w:eastAsia="zh"/>
                <w:woUserID w:val="1"/>
              </w:rPr>
              <w:t>使用链路级仿真生成的数据；训练 1000 轮，采用平均绝对误差损失</w:t>
            </w:r>
          </w:p>
        </w:tc>
      </w:tr>
      <w:tr w14:paraId="51DC08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18" w:type="dxa"/>
            <w:shd w:val="clear"/>
            <w:vAlign w:val="center"/>
          </w:tcPr>
          <w:p w14:paraId="7B2C0CBC">
            <w:pPr>
              <w:numPr>
                <w:numId w:val="0"/>
              </w:numPr>
              <w:ind w:leftChars="0"/>
              <w:rPr>
                <w:rFonts w:hint="default"/>
                <w:lang w:val="en-US" w:eastAsia="zh"/>
                <w:woUserID w:val="1"/>
              </w:rPr>
            </w:pPr>
            <w:r>
              <w:rPr>
                <w:rFonts w:hint="default"/>
                <w:lang w:val="en-US" w:eastAsia="zh"/>
                <w:woUserID w:val="1"/>
              </w:rPr>
              <w:t>模型大小</w:t>
            </w:r>
          </w:p>
        </w:tc>
        <w:tc>
          <w:tcPr>
            <w:tcW w:w="6777" w:type="dxa"/>
            <w:shd w:val="clear"/>
            <w:vAlign w:val="center"/>
          </w:tcPr>
          <w:p w14:paraId="55A8614E">
            <w:pPr>
              <w:numPr>
                <w:numId w:val="0"/>
              </w:numPr>
              <w:ind w:leftChars="0"/>
              <w:rPr>
                <w:rFonts w:hint="default"/>
                <w:lang w:val="en-US" w:eastAsia="zh"/>
                <w:woUserID w:val="1"/>
              </w:rPr>
            </w:pPr>
            <w:r>
              <w:rPr>
                <w:rFonts w:hint="default"/>
                <w:lang w:val="en-US" w:eastAsia="zh"/>
                <w:woUserID w:val="1"/>
              </w:rPr>
              <w:t>3.98 MB，采用 32 位浮点精度</w:t>
            </w:r>
          </w:p>
        </w:tc>
      </w:tr>
    </w:tbl>
    <w:p w14:paraId="0442B28E">
      <w:pPr>
        <w:numPr>
          <w:numId w:val="0"/>
        </w:numPr>
        <w:ind w:leftChars="0" w:firstLine="420" w:firstLineChars="0"/>
        <w:rPr>
          <w:rFonts w:hint="default"/>
          <w:lang w:val="en-US" w:eastAsia="zh"/>
          <w:woUserID w:val="1"/>
        </w:rPr>
      </w:pPr>
      <w:r>
        <w:rPr>
          <w:rFonts w:hint="default"/>
          <w:lang w:val="en-US" w:eastAsia="zh"/>
          <w:woUserID w:val="1"/>
        </w:rPr>
        <w:t>这里预测的是最佳基站发射波束编号，不能直接写成“预测终端接收波束编号”。UE 的接收波束配置参与了数据生成，但论文最终报告的预测指标是 Top-1 发射波束命中率。</w:t>
      </w:r>
    </w:p>
    <w:p w14:paraId="409C97BF">
      <w:pPr>
        <w:numPr>
          <w:numId w:val="0"/>
        </w:numPr>
        <w:ind w:leftChars="0"/>
        <w:rPr>
          <w:rFonts w:hint="default"/>
          <w:lang w:val="en-US" w:eastAsia="zh"/>
          <w:woUserID w:val="1"/>
        </w:rPr>
      </w:pPr>
      <w:r>
        <w:rPr>
          <w:rFonts w:hint="default"/>
          <w:b/>
          <w:bCs/>
          <w:lang w:val="en-US" w:eastAsia="zh"/>
          <w:woUserID w:val="1"/>
        </w:rPr>
        <w:t>（2）关键点</w:t>
      </w:r>
    </w:p>
    <w:p w14:paraId="57F54EB1">
      <w:pPr>
        <w:numPr>
          <w:numId w:val="0"/>
        </w:numPr>
        <w:ind w:leftChars="0" w:firstLine="420" w:firstLineChars="0"/>
        <w:rPr>
          <w:rFonts w:hint="default"/>
          <w:lang w:val="en-US" w:eastAsia="zh"/>
          <w:woUserID w:val="1"/>
        </w:rPr>
      </w:pPr>
      <w:r>
        <w:rPr>
          <w:rFonts w:hint="default"/>
          <w:lang w:val="en-US" w:eastAsia="zh"/>
          <w:woUserID w:val="1"/>
        </w:rPr>
        <w:t>第一，论文解决的是快速波束测量条件下，测试系统来不及改变物理配置的问题。原文指出，空间域波束管理的发射—接收波束扫描整体处于毫秒量级，相邻波束切换甚至可能达到几十微秒量级。在这个时间内，依靠机械转台转动设备，或者动态切换探头来重新搭建每个波束的环境，难以满足测试需要。</w:t>
      </w:r>
    </w:p>
    <w:p w14:paraId="72A380BD">
      <w:pPr>
        <w:numPr>
          <w:numId w:val="0"/>
        </w:numPr>
        <w:ind w:leftChars="0" w:firstLine="420" w:firstLineChars="0"/>
        <w:rPr>
          <w:rFonts w:hint="default"/>
          <w:lang w:val="en-US" w:eastAsia="zh"/>
          <w:woUserID w:val="1"/>
        </w:rPr>
      </w:pPr>
      <w:r>
        <w:rPr>
          <w:rFonts w:hint="default"/>
          <w:lang w:val="en-US" w:eastAsia="zh"/>
          <w:woUserID w:val="1"/>
        </w:rPr>
        <w:t>作者的设计是：提前选择一组固定探头，使这组探头共同覆盖本次测试需要的多个波束信道；不同波束对应的信道系数和探头功率权重由信道模拟器处理，在一次快速测试过程中不依赖机械转动或重新选择物理探头。因此，“固定探头”指固定位置和所选探头集合，并不意味着所有波束使用完全相同的功率权重。</w:t>
      </w:r>
    </w:p>
    <w:p w14:paraId="729302A5">
      <w:pPr>
        <w:numPr>
          <w:numId w:val="0"/>
        </w:numPr>
        <w:ind w:leftChars="0" w:firstLine="420" w:firstLineChars="0"/>
        <w:rPr>
          <w:rFonts w:hint="default"/>
          <w:lang w:val="en-US" w:eastAsia="zh"/>
          <w:woUserID w:val="1"/>
        </w:rPr>
      </w:pPr>
      <w:r>
        <w:rPr>
          <w:rFonts w:hint="default"/>
          <w:lang w:val="en-US" w:eastAsia="zh"/>
          <w:woUserID w:val="1"/>
        </w:rPr>
        <w:t>第二，需要重建的信道必须考虑基站波束对传播路径的作用。论文使用 3GPP TR 38.901 中的 CDL，即簇状时延线信道模型。原始 CDL 描述多径传播，但不自带具体基站发射波束的方向性增益。不同发射波束会增强不同方向的路径，也会抑制其他路径。因此，即使终端没有移动，切换基站发射波束后，终端看到的路径功率分布仍可能改变。作者将这种作用称为基站侧滤波，并针对每个发射波束生成相应的滤波后信道。</w:t>
      </w:r>
    </w:p>
    <w:p w14:paraId="37ED9A88">
      <w:pPr>
        <w:numPr>
          <w:numId w:val="0"/>
        </w:numPr>
        <w:ind w:leftChars="0" w:firstLine="420" w:firstLineChars="0"/>
        <w:rPr>
          <w:rFonts w:hint="default"/>
          <w:lang w:val="en-US" w:eastAsia="zh"/>
          <w:woUserID w:val="1"/>
        </w:rPr>
      </w:pPr>
      <w:r>
        <w:rPr>
          <w:rFonts w:hint="default"/>
          <w:lang w:val="en-US" w:eastAsia="zh"/>
          <w:woUserID w:val="1"/>
        </w:rPr>
        <w:t>为了降低实现复杂度，本文进一步只保留每个滤波后信道中功率最高的主导簇。作者依据所分析场景中主导簇与次强簇的功率差异，认为这种简化适合其波束管理测试。这个结论应限定在本文场景，不能扩展为所有无线 AI 测试都可以忽略弱路径。另外，探头面板只能覆盖一定角度范围。作者在配置测试环境之前旋转目标信道的角度分布，将最佳波束对应的最强射线对齐到面板中心，减少重要路径落在探头覆盖范围之外的问题。这是测试场景的预配置，不是在快速波束扫描期间不断转动终端。</w:t>
      </w:r>
    </w:p>
    <w:p w14:paraId="6D508FC0">
      <w:pPr>
        <w:numPr>
          <w:numId w:val="0"/>
        </w:numPr>
        <w:ind w:leftChars="0" w:firstLine="420" w:firstLineChars="0"/>
        <w:rPr>
          <w:rFonts w:hint="default"/>
          <w:lang w:val="en-US" w:eastAsia="zh"/>
          <w:woUserID w:val="1"/>
        </w:rPr>
      </w:pPr>
      <w:r>
        <w:rPr>
          <w:rFonts w:hint="default"/>
          <w:lang w:val="en-US" w:eastAsia="zh"/>
          <w:woUserID w:val="1"/>
        </w:rPr>
        <w:t>第三，方法 A 和方法 B 的区别，是测试系统需要支持多少种波束配置。全文的区分如下：</w:t>
      </w:r>
    </w:p>
    <w:tbl>
      <w:tblPr>
        <w:tblW w:w="5000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7"/>
        <w:gridCol w:w="1958"/>
        <w:gridCol w:w="3072"/>
        <w:gridCol w:w="2829"/>
      </w:tblGrid>
      <w:tr w14:paraId="42AEBC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93" w:type="pct"/>
            <w:shd w:val="clear"/>
            <w:vAlign w:val="center"/>
          </w:tcPr>
          <w:p w14:paraId="52C4C006">
            <w:pPr>
              <w:numPr>
                <w:numId w:val="0"/>
              </w:numPr>
              <w:ind w:leftChars="0"/>
              <w:rPr>
                <w:rFonts w:hint="default"/>
                <w:lang w:val="en-US" w:eastAsia="zh"/>
                <w:woUserID w:val="1"/>
              </w:rPr>
            </w:pPr>
            <w:r>
              <w:rPr>
                <w:rFonts w:hint="default"/>
                <w:lang w:val="en-US" w:eastAsia="zh"/>
                <w:woUserID w:val="1"/>
              </w:rPr>
              <w:t>方法</w:t>
            </w:r>
          </w:p>
        </w:tc>
        <w:tc>
          <w:tcPr>
            <w:tcW w:w="1148" w:type="pct"/>
            <w:shd w:val="clear"/>
            <w:vAlign w:val="center"/>
          </w:tcPr>
          <w:p w14:paraId="37494A83">
            <w:pPr>
              <w:numPr>
                <w:numId w:val="0"/>
              </w:numPr>
              <w:ind w:leftChars="0"/>
              <w:rPr>
                <w:rFonts w:hint="default"/>
                <w:lang w:val="en-US" w:eastAsia="zh"/>
                <w:woUserID w:val="1"/>
              </w:rPr>
            </w:pPr>
            <w:r>
              <w:rPr>
                <w:rFonts w:hint="default"/>
                <w:lang w:val="en-US" w:eastAsia="zh"/>
                <w:woUserID w:val="1"/>
              </w:rPr>
              <w:t>适用前提</w:t>
            </w:r>
          </w:p>
        </w:tc>
        <w:tc>
          <w:tcPr>
            <w:tcW w:w="1811" w:type="pct"/>
            <w:shd w:val="clear"/>
            <w:vAlign w:val="center"/>
          </w:tcPr>
          <w:p w14:paraId="215FC9D5">
            <w:pPr>
              <w:numPr>
                <w:numId w:val="0"/>
              </w:numPr>
              <w:ind w:leftChars="0"/>
              <w:rPr>
                <w:rFonts w:hint="default"/>
                <w:lang w:val="en-US" w:eastAsia="zh"/>
                <w:woUserID w:val="1"/>
              </w:rPr>
            </w:pPr>
            <w:r>
              <w:rPr>
                <w:rFonts w:hint="default"/>
                <w:lang w:val="en-US" w:eastAsia="zh"/>
                <w:woUserID w:val="1"/>
              </w:rPr>
              <w:t>需要重建的波束信道</w:t>
            </w:r>
          </w:p>
        </w:tc>
        <w:tc>
          <w:tcPr>
            <w:tcW w:w="1657" w:type="pct"/>
            <w:shd w:val="clear"/>
            <w:vAlign w:val="center"/>
          </w:tcPr>
          <w:p w14:paraId="3FA9D874">
            <w:pPr>
              <w:numPr>
                <w:numId w:val="0"/>
              </w:numPr>
              <w:ind w:leftChars="0"/>
              <w:rPr>
                <w:rFonts w:hint="default"/>
                <w:lang w:val="en-US" w:eastAsia="zh"/>
                <w:woUserID w:val="1"/>
              </w:rPr>
            </w:pPr>
            <w:r>
              <w:rPr>
                <w:rFonts w:hint="default"/>
                <w:lang w:val="en-US" w:eastAsia="zh"/>
                <w:woUserID w:val="1"/>
              </w:rPr>
              <w:t>主要特点</w:t>
            </w:r>
          </w:p>
        </w:tc>
      </w:tr>
      <w:tr w14:paraId="01333D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93" w:type="pct"/>
            <w:shd w:val="clear"/>
            <w:vAlign w:val="center"/>
          </w:tcPr>
          <w:p w14:paraId="34A794B7">
            <w:pPr>
              <w:numPr>
                <w:numId w:val="0"/>
              </w:numPr>
              <w:ind w:leftChars="0"/>
              <w:rPr>
                <w:rFonts w:hint="default"/>
                <w:lang w:val="en-US" w:eastAsia="zh"/>
                <w:woUserID w:val="1"/>
              </w:rPr>
            </w:pPr>
            <w:r>
              <w:rPr>
                <w:rFonts w:hint="default"/>
                <w:lang w:val="en-US" w:eastAsia="zh"/>
                <w:woUserID w:val="1"/>
              </w:rPr>
              <w:t>方法 A</w:t>
            </w:r>
          </w:p>
        </w:tc>
        <w:tc>
          <w:tcPr>
            <w:tcW w:w="1148" w:type="pct"/>
            <w:shd w:val="clear"/>
            <w:vAlign w:val="center"/>
          </w:tcPr>
          <w:p w14:paraId="7AC53C4E">
            <w:pPr>
              <w:numPr>
                <w:numId w:val="0"/>
              </w:numPr>
              <w:ind w:leftChars="0"/>
              <w:rPr>
                <w:rFonts w:hint="default"/>
                <w:lang w:val="en-US" w:eastAsia="zh"/>
                <w:woUserID w:val="1"/>
              </w:rPr>
            </w:pPr>
            <w:r>
              <w:rPr>
                <w:rFonts w:hint="default"/>
                <w:lang w:val="en-US" w:eastAsia="zh"/>
                <w:woUserID w:val="1"/>
              </w:rPr>
              <w:t>输入集合 B 未知或未被预先规定</w:t>
            </w:r>
          </w:p>
        </w:tc>
        <w:tc>
          <w:tcPr>
            <w:tcW w:w="1811" w:type="pct"/>
            <w:shd w:val="clear"/>
            <w:vAlign w:val="center"/>
          </w:tcPr>
          <w:p w14:paraId="0D99C944">
            <w:pPr>
              <w:numPr>
                <w:numId w:val="0"/>
              </w:numPr>
              <w:ind w:leftChars="0"/>
              <w:rPr>
                <w:rFonts w:hint="default"/>
                <w:lang w:val="en-US" w:eastAsia="zh"/>
                <w:woUserID w:val="1"/>
              </w:rPr>
            </w:pPr>
            <w:r>
              <w:rPr>
                <w:rFonts w:hint="default"/>
                <w:lang w:val="en-US" w:eastAsia="zh"/>
                <w:woUserID w:val="1"/>
              </w:rPr>
              <w:t>集合 A 中全部候选波束对应的信道</w:t>
            </w:r>
          </w:p>
        </w:tc>
        <w:tc>
          <w:tcPr>
            <w:tcW w:w="1657" w:type="pct"/>
            <w:shd w:val="clear"/>
            <w:vAlign w:val="center"/>
          </w:tcPr>
          <w:p w14:paraId="1C59DA9F">
            <w:pPr>
              <w:numPr>
                <w:numId w:val="0"/>
              </w:numPr>
              <w:ind w:leftChars="0"/>
              <w:rPr>
                <w:rFonts w:hint="default"/>
                <w:lang w:val="en-US" w:eastAsia="zh"/>
                <w:woUserID w:val="1"/>
              </w:rPr>
            </w:pPr>
            <w:r>
              <w:rPr>
                <w:rFonts w:hint="default"/>
                <w:lang w:val="en-US" w:eastAsia="zh"/>
                <w:woUserID w:val="1"/>
              </w:rPr>
              <w:t>支持更灵活的输入波束配置，但通常需要更多探头</w:t>
            </w:r>
          </w:p>
        </w:tc>
      </w:tr>
      <w:tr w14:paraId="6B5CF4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93" w:type="pct"/>
            <w:shd w:val="clear"/>
            <w:vAlign w:val="center"/>
          </w:tcPr>
          <w:p w14:paraId="0129C117">
            <w:pPr>
              <w:numPr>
                <w:numId w:val="0"/>
              </w:numPr>
              <w:ind w:leftChars="0"/>
              <w:rPr>
                <w:rFonts w:hint="default"/>
                <w:lang w:val="en-US" w:eastAsia="zh"/>
                <w:woUserID w:val="1"/>
              </w:rPr>
            </w:pPr>
            <w:r>
              <w:rPr>
                <w:rFonts w:hint="default"/>
                <w:lang w:val="en-US" w:eastAsia="zh"/>
                <w:woUserID w:val="1"/>
              </w:rPr>
              <w:t>方法 B</w:t>
            </w:r>
          </w:p>
        </w:tc>
        <w:tc>
          <w:tcPr>
            <w:tcW w:w="1148" w:type="pct"/>
            <w:shd w:val="clear"/>
            <w:vAlign w:val="center"/>
          </w:tcPr>
          <w:p w14:paraId="29650A61">
            <w:pPr>
              <w:numPr>
                <w:numId w:val="0"/>
              </w:numPr>
              <w:ind w:leftChars="0"/>
              <w:rPr>
                <w:rFonts w:hint="default"/>
                <w:lang w:val="en-US" w:eastAsia="zh"/>
                <w:woUserID w:val="1"/>
              </w:rPr>
            </w:pPr>
            <w:r>
              <w:rPr>
                <w:rFonts w:hint="default"/>
                <w:lang w:val="en-US" w:eastAsia="zh"/>
                <w:woUserID w:val="1"/>
              </w:rPr>
              <w:t>输入集合 B 已知、已规定</w:t>
            </w:r>
          </w:p>
        </w:tc>
        <w:tc>
          <w:tcPr>
            <w:tcW w:w="1811" w:type="pct"/>
            <w:shd w:val="clear"/>
            <w:vAlign w:val="center"/>
          </w:tcPr>
          <w:p w14:paraId="51A73338">
            <w:pPr>
              <w:numPr>
                <w:numId w:val="0"/>
              </w:numPr>
              <w:ind w:leftChars="0"/>
              <w:rPr>
                <w:rFonts w:hint="default"/>
                <w:lang w:val="en-US" w:eastAsia="zh"/>
                <w:woUserID w:val="1"/>
              </w:rPr>
            </w:pPr>
            <w:r>
              <w:rPr>
                <w:rFonts w:hint="default"/>
                <w:lang w:val="en-US" w:eastAsia="zh"/>
                <w:woUserID w:val="1"/>
              </w:rPr>
              <w:t>集合 B，加上需要验证的 Top-K 目标波束对应的信道</w:t>
            </w:r>
          </w:p>
        </w:tc>
        <w:tc>
          <w:tcPr>
            <w:tcW w:w="1657" w:type="pct"/>
            <w:shd w:val="clear"/>
            <w:vAlign w:val="center"/>
          </w:tcPr>
          <w:p w14:paraId="65A641BE">
            <w:pPr>
              <w:numPr>
                <w:numId w:val="0"/>
              </w:numPr>
              <w:ind w:leftChars="0"/>
              <w:rPr>
                <w:rFonts w:hint="default"/>
                <w:lang w:val="en-US" w:eastAsia="zh"/>
                <w:woUserID w:val="1"/>
              </w:rPr>
            </w:pPr>
            <w:r>
              <w:rPr>
                <w:rFonts w:hint="default"/>
                <w:lang w:val="en-US" w:eastAsia="zh"/>
                <w:woUserID w:val="1"/>
              </w:rPr>
              <w:t>面向确定的测试配置，可以缩小重建范围</w:t>
            </w:r>
          </w:p>
        </w:tc>
      </w:tr>
    </w:tbl>
    <w:p w14:paraId="4C16847E">
      <w:pPr>
        <w:numPr>
          <w:numId w:val="0"/>
        </w:numPr>
        <w:ind w:leftChars="0" w:firstLine="420" w:firstLineChars="0"/>
        <w:rPr>
          <w:rFonts w:hint="default"/>
          <w:lang w:val="en-US" w:eastAsia="zh"/>
          <w:woUserID w:val="1"/>
        </w:rPr>
      </w:pPr>
      <w:r>
        <w:rPr>
          <w:rFonts w:hint="default"/>
          <w:lang w:val="en-US" w:eastAsia="zh"/>
          <w:woUserID w:val="1"/>
        </w:rPr>
        <w:t>例如，本文集合 A 有 32 个波束，而集合 B 只有 8 个。若采用方法 B，测试系统只需重点支持这 8 个输入波束，以及作为参考的目标波束，而不必同等精度地重建全部 32 个波束。这里的 Top-K 目标是测试场景中的参考目标，用于验证模型预测，不能理解为先相信模型预测，再只测它选出的波束。本文仿真主要验证 Top-1 目标。</w:t>
      </w:r>
    </w:p>
    <w:p w14:paraId="3C9C1795">
      <w:pPr>
        <w:numPr>
          <w:numId w:val="0"/>
        </w:numPr>
        <w:ind w:leftChars="0" w:firstLine="420" w:firstLineChars="0"/>
        <w:rPr>
          <w:rFonts w:hint="default"/>
          <w:lang w:val="en-US" w:eastAsia="zh"/>
          <w:woUserID w:val="1"/>
        </w:rPr>
      </w:pPr>
      <w:r>
        <w:rPr>
          <w:rFonts w:hint="default"/>
          <w:lang w:val="en-US" w:eastAsia="zh"/>
          <w:woUserID w:val="1"/>
        </w:rPr>
        <w:t>第四，BPSP 是逐波束检查测试环境的指标，探头选择由最差情况驱动。</w:t>
      </w:r>
    </w:p>
    <w:p w14:paraId="214ACD49">
      <w:pPr>
        <w:numPr>
          <w:numId w:val="0"/>
        </w:numPr>
        <w:ind w:leftChars="0"/>
        <w:rPr>
          <w:rFonts w:hint="default"/>
          <w:lang w:val="en-US" w:eastAsia="zh"/>
          <w:woUserID w:val="1"/>
        </w:rPr>
      </w:pPr>
      <w:r>
        <w:rPr>
          <w:rFonts w:hint="default"/>
          <w:lang w:val="en-US" w:eastAsia="zh"/>
          <w:woUserID w:val="1"/>
        </w:rPr>
        <w:t>传统 PSP 通过比较目标与重建环境的归一化 Bartlett 功率角谱，评价信道空间特征的相似程度。本文将这一评价应用于每个基站波束滤波后的信道，因此，BPSP 可以表现为一条随波束编号变化的曲线，或一个向量。它保留了每个波束的重建质量，能够发现哪些波束成为测试环境的薄弱环节。</w:t>
      </w:r>
    </w:p>
    <w:p w14:paraId="446EF3EB">
      <w:pPr>
        <w:numPr>
          <w:numId w:val="0"/>
        </w:numPr>
        <w:ind w:leftChars="0" w:firstLine="420" w:firstLineChars="0"/>
        <w:rPr>
          <w:rFonts w:hint="default"/>
          <w:lang w:val="en-US" w:eastAsia="zh"/>
          <w:woUserID w:val="1"/>
        </w:rPr>
      </w:pPr>
      <w:r>
        <w:rPr>
          <w:rFonts w:hint="default"/>
          <w:lang w:val="en-US" w:eastAsia="zh"/>
          <w:woUserID w:val="1"/>
        </w:rPr>
        <w:t>算法 1 的基本过程是：先优化候选探头权重，再选取初始探头集合；计算所有目标波束的 BPSP；如果最差波束未达到门限，就围绕该薄弱情况补充探头、重新优化，直到全部目标波束满足要求</w:t>
      </w:r>
      <w:r>
        <w:rPr>
          <w:rFonts w:hint="eastAsia"/>
          <w:lang w:val="en-US" w:eastAsia="zh"/>
          <w:woUserID w:val="1"/>
        </w:rPr>
        <w:t>，即全部达到</w:t>
      </w:r>
      <w:r>
        <w:rPr>
          <w:rFonts w:hint="default"/>
          <w:lang w:val="en-US" w:eastAsia="zh"/>
          <w:woUserID w:val="1"/>
        </w:rPr>
        <w:t>测试环境重建门限。论文使用了 60% 和 80% 两档门限进行比较，它们不是 AI 模型预测准确率要求，也不能直接表述为标准验收门限。还需要注意，BPSP 比较的是归一化空间谱形状，不能单独证明绝对接收功率标定正确。若要进一步验收功率预测，还需要相应的功率参考和误差评价。</w:t>
      </w:r>
    </w:p>
    <w:p w14:paraId="70B6CD61">
      <w:pPr>
        <w:numPr>
          <w:numId w:val="0"/>
        </w:numPr>
        <w:ind w:leftChars="0" w:firstLine="420" w:firstLineChars="0"/>
        <w:rPr>
          <w:rFonts w:hint="default"/>
          <w:lang w:val="en-US" w:eastAsia="zh"/>
          <w:woUserID w:val="1"/>
        </w:rPr>
      </w:pPr>
      <w:r>
        <w:rPr>
          <w:rFonts w:hint="default"/>
          <w:lang w:val="en-US" w:eastAsia="zh"/>
          <w:woUserID w:val="1"/>
        </w:rPr>
        <w:t>第五，论文给出了实际的无线实验搭建方法，但终端软件集成细节仍不完整。图 2 给出的系统架构包括基站模拟器、信道模拟器、开关矩阵、多探头暗室和被测设备。具体的信道验证实验则使用信号发生器产生未预编码的信号，由信道模拟器实现发射波束形成、CDL 信道处理和探头权重映射。</w:t>
      </w:r>
    </w:p>
    <w:p w14:paraId="0745CAC7">
      <w:pPr>
        <w:numPr>
          <w:numId w:val="0"/>
        </w:numPr>
        <w:ind w:leftChars="0" w:firstLine="420" w:firstLineChars="0"/>
        <w:rPr>
          <w:rFonts w:hint="default"/>
          <w:lang w:val="en-US" w:eastAsia="zh"/>
          <w:woUserID w:val="1"/>
        </w:rPr>
      </w:pPr>
      <w:r>
        <w:rPr>
          <w:rFonts w:hint="default"/>
          <w:lang w:val="en-US" w:eastAsia="zh"/>
          <w:woUserID w:val="1"/>
        </w:rPr>
        <w:t>实际搭建的实验采用 CDL-A 信道，方法 A 使用 8 个探头，方法 B 使用 7 个探头，测量距离为 1.5 m。作者在静区中心放置窄波束天线阵列，通过三维转台扫描半球空间，测量近似功率角谱，再计算实测 BPSP，与仿真结果比较。这里转台的用途是验证环境、采集角谱，不是用于跟随快速波束扫描实时改变测试环境，两者不矛盾。</w:t>
      </w:r>
    </w:p>
    <w:p w14:paraId="65647DA5">
      <w:pPr>
        <w:numPr>
          <w:numId w:val="0"/>
        </w:numPr>
        <w:ind w:leftChars="0" w:firstLine="420" w:firstLineChars="0"/>
        <w:rPr>
          <w:rFonts w:hint="default"/>
          <w:lang w:val="en-US" w:eastAsia="zh"/>
          <w:woUserID w:val="1"/>
        </w:rPr>
      </w:pPr>
      <w:r>
        <w:rPr>
          <w:rFonts w:hint="default"/>
          <w:lang w:val="en-US" w:eastAsia="zh"/>
          <w:woUserID w:val="1"/>
        </w:rPr>
        <w:t>模型验证则使用实测功率角谱形成的 1000 个样本。虽然作者明确将模型描述为部署在 UE 侧，但没有说明具体手机型号、处理器、推理运行环境，也没有给出模型与终端测量模块之间的接口。因此，可以确认“实测环境支撑了模型验证”，还不能确认一套可照搬的商用手机基带部署流程。</w:t>
      </w:r>
    </w:p>
    <w:p w14:paraId="33C26315">
      <w:pPr>
        <w:numPr>
          <w:numId w:val="0"/>
        </w:numPr>
        <w:ind w:leftChars="0" w:firstLine="420" w:firstLineChars="0"/>
        <w:rPr>
          <w:rFonts w:hint="default"/>
          <w:lang w:val="en-US" w:eastAsia="zh"/>
          <w:woUserID w:val="1"/>
        </w:rPr>
      </w:pPr>
      <w:r>
        <w:rPr>
          <w:rFonts w:hint="default"/>
          <w:lang w:val="en-US" w:eastAsia="zh"/>
          <w:woUserID w:val="1"/>
        </w:rPr>
        <w:t>第六，实验结果说明测试环境的选择会影响同一个模型的评估结果。论文先生成 45000 个原始仿真样本，随机选取 15000 个用于训练和测试，按正文给出的比例划分为 13125 个训练样本和 1875 个测试样本。模型在仿真测试集上的准确率为 97.7%，作为后续参考。随后使用实测数据进行验证，表 VI 的结果为：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16"/>
        <w:gridCol w:w="2569"/>
      </w:tblGrid>
      <w:tr w14:paraId="4078AD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0385208">
            <w:pPr>
              <w:numPr>
                <w:numId w:val="0"/>
              </w:numPr>
              <w:ind w:leftChars="0"/>
              <w:rPr>
                <w:rFonts w:hint="default"/>
                <w:lang w:val="en-US" w:eastAsia="zh"/>
                <w:woUserID w:val="1"/>
              </w:rPr>
            </w:pPr>
            <w:r>
              <w:rPr>
                <w:rFonts w:hint="default"/>
                <w:lang w:val="en-US" w:eastAsia="zh"/>
                <w:woUserID w:val="1"/>
              </w:rPr>
              <w:t>数据与测试环境</w:t>
            </w:r>
          </w:p>
        </w:tc>
        <w:tc>
          <w:tcPr>
            <w:tcW w:w="0" w:type="auto"/>
            <w:shd w:val="clear"/>
            <w:vAlign w:val="center"/>
          </w:tcPr>
          <w:p w14:paraId="30D6E630">
            <w:pPr>
              <w:numPr>
                <w:numId w:val="0"/>
              </w:numPr>
              <w:ind w:leftChars="0"/>
              <w:rPr>
                <w:rFonts w:hint="default"/>
                <w:lang w:val="en-US" w:eastAsia="zh"/>
                <w:woUserID w:val="1"/>
              </w:rPr>
            </w:pPr>
            <w:r>
              <w:rPr>
                <w:rFonts w:hint="default"/>
                <w:lang w:val="en-US" w:eastAsia="zh"/>
                <w:woUserID w:val="1"/>
              </w:rPr>
              <w:t>Top-1 发射波束预测准确率</w:t>
            </w:r>
          </w:p>
        </w:tc>
      </w:tr>
      <w:tr w14:paraId="4D4207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4F4F44">
            <w:pPr>
              <w:numPr>
                <w:numId w:val="0"/>
              </w:numPr>
              <w:ind w:leftChars="0"/>
              <w:rPr>
                <w:rFonts w:hint="default"/>
                <w:lang w:val="en-US" w:eastAsia="zh"/>
                <w:woUserID w:val="1"/>
              </w:rPr>
            </w:pPr>
            <w:r>
              <w:rPr>
                <w:rFonts w:hint="default"/>
                <w:lang w:val="en-US" w:eastAsia="zh"/>
                <w:woUserID w:val="1"/>
              </w:rPr>
              <w:t>链路级仿真测试集</w:t>
            </w:r>
          </w:p>
        </w:tc>
        <w:tc>
          <w:tcPr>
            <w:tcW w:w="0" w:type="auto"/>
            <w:shd w:val="clear"/>
            <w:vAlign w:val="center"/>
          </w:tcPr>
          <w:p w14:paraId="004D5A94">
            <w:pPr>
              <w:numPr>
                <w:numId w:val="0"/>
              </w:numPr>
              <w:ind w:leftChars="0"/>
              <w:rPr>
                <w:rFonts w:hint="default"/>
                <w:lang w:val="en-US" w:eastAsia="zh"/>
                <w:woUserID w:val="1"/>
              </w:rPr>
            </w:pPr>
            <w:r>
              <w:rPr>
                <w:rFonts w:hint="default"/>
                <w:lang w:val="en-US" w:eastAsia="zh"/>
                <w:woUserID w:val="1"/>
              </w:rPr>
              <w:t>97.7%</w:t>
            </w:r>
          </w:p>
        </w:tc>
      </w:tr>
      <w:tr w14:paraId="51F0DF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F6BAE2">
            <w:pPr>
              <w:numPr>
                <w:numId w:val="0"/>
              </w:numPr>
              <w:ind w:leftChars="0"/>
              <w:rPr>
                <w:rFonts w:hint="default"/>
                <w:lang w:val="en-US" w:eastAsia="zh"/>
                <w:woUserID w:val="1"/>
              </w:rPr>
            </w:pPr>
            <w:r>
              <w:rPr>
                <w:rFonts w:hint="default"/>
                <w:lang w:val="en-US" w:eastAsia="zh"/>
                <w:woUserID w:val="1"/>
              </w:rPr>
              <w:t>方法 A 的实测验证数据</w:t>
            </w:r>
          </w:p>
        </w:tc>
        <w:tc>
          <w:tcPr>
            <w:tcW w:w="0" w:type="auto"/>
            <w:shd w:val="clear"/>
            <w:vAlign w:val="center"/>
          </w:tcPr>
          <w:p w14:paraId="620AF205">
            <w:pPr>
              <w:numPr>
                <w:numId w:val="0"/>
              </w:numPr>
              <w:ind w:leftChars="0"/>
              <w:rPr>
                <w:rFonts w:hint="default"/>
                <w:lang w:val="en-US" w:eastAsia="zh"/>
                <w:woUserID w:val="1"/>
              </w:rPr>
            </w:pPr>
            <w:r>
              <w:rPr>
                <w:rFonts w:hint="default"/>
                <w:lang w:val="en-US" w:eastAsia="zh"/>
                <w:woUserID w:val="1"/>
              </w:rPr>
              <w:t>73.1%</w:t>
            </w:r>
          </w:p>
        </w:tc>
      </w:tr>
      <w:tr w14:paraId="66A344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6D6AFB">
            <w:pPr>
              <w:numPr>
                <w:numId w:val="0"/>
              </w:numPr>
              <w:ind w:leftChars="0"/>
              <w:rPr>
                <w:rFonts w:hint="default"/>
                <w:lang w:val="en-US" w:eastAsia="zh"/>
                <w:woUserID w:val="1"/>
              </w:rPr>
            </w:pPr>
            <w:r>
              <w:rPr>
                <w:rFonts w:hint="default"/>
                <w:lang w:val="en-US" w:eastAsia="zh"/>
                <w:woUserID w:val="1"/>
              </w:rPr>
              <w:t>方法 B 的实测验证数据</w:t>
            </w:r>
          </w:p>
        </w:tc>
        <w:tc>
          <w:tcPr>
            <w:tcW w:w="0" w:type="auto"/>
            <w:shd w:val="clear"/>
            <w:vAlign w:val="center"/>
          </w:tcPr>
          <w:p w14:paraId="515C6965">
            <w:pPr>
              <w:numPr>
                <w:numId w:val="0"/>
              </w:numPr>
              <w:ind w:leftChars="0"/>
              <w:rPr>
                <w:rFonts w:hint="default"/>
                <w:lang w:val="en-US" w:eastAsia="zh"/>
                <w:woUserID w:val="1"/>
              </w:rPr>
            </w:pPr>
            <w:r>
              <w:rPr>
                <w:rFonts w:hint="default"/>
                <w:lang w:val="en-US" w:eastAsia="zh"/>
                <w:woUserID w:val="1"/>
              </w:rPr>
              <w:t>93.5%</w:t>
            </w:r>
          </w:p>
        </w:tc>
      </w:tr>
    </w:tbl>
    <w:p w14:paraId="0BF14A11">
      <w:pPr>
        <w:numPr>
          <w:numId w:val="0"/>
        </w:numPr>
        <w:ind w:leftChars="0" w:firstLine="420" w:firstLineChars="0"/>
        <w:rPr>
          <w:rFonts w:hint="default"/>
          <w:lang w:val="en-US" w:eastAsia="zh"/>
          <w:woUserID w:val="1"/>
        </w:rPr>
      </w:pPr>
      <w:r>
        <w:rPr>
          <w:rFonts w:hint="default"/>
          <w:lang w:val="en-US" w:eastAsia="zh"/>
          <w:woUserID w:val="1"/>
        </w:rPr>
        <w:t>方法 B 的结果更接近仿真基准，相差 4.2 个百分点；方法 A 相差 24.6 个百分点。作者将这种差异与方法 A 支持更通用的发射配置、方法 B 针对特定配置构建环境联系起来。因此，这组结果不能写成“方法 B 提高了 AI 算法准确率”。它比较的是同一模型在不同测试环境中的表现，更直接支持的是：针对确定配置构建测试环境，有助于获得接近参考环境的预测结果。探头数量也体现了这种取舍。以 CDL-A 仿真为例，BPSP 门限为 80% 时，方法 A、B 分别需要 18、13 个探头；门限放宽至 60% 时，分别需要 8、7 个。实际实验采用的是后一档配置，而不是用 7 个探头实现了 80% 门限的方案。</w:t>
      </w:r>
    </w:p>
    <w:p w14:paraId="0C067531">
      <w:pPr>
        <w:numPr>
          <w:numId w:val="0"/>
        </w:numPr>
        <w:ind w:leftChars="0"/>
        <w:rPr>
          <w:rFonts w:hint="default"/>
          <w:b/>
          <w:bCs/>
          <w:lang w:val="en-US" w:eastAsia="zh"/>
          <w:woUserID w:val="1"/>
        </w:rPr>
      </w:pPr>
      <w:r>
        <w:rPr>
          <w:rFonts w:hint="default"/>
          <w:b/>
          <w:bCs/>
          <w:lang w:val="en-US" w:eastAsia="zh"/>
          <w:woUserID w:val="1"/>
        </w:rPr>
        <w:t>（3）研究启示、成熟度与应用思路</w:t>
      </w:r>
    </w:p>
    <w:p w14:paraId="6D148391">
      <w:pPr>
        <w:numPr>
          <w:numId w:val="0"/>
        </w:numPr>
        <w:ind w:leftChars="0" w:firstLine="420" w:firstLineChars="0"/>
        <w:rPr>
          <w:rFonts w:hint="default"/>
          <w:lang w:val="en-US" w:eastAsia="zh"/>
          <w:woUserID w:val="1"/>
        </w:rPr>
      </w:pPr>
      <w:r>
        <w:rPr>
          <w:rFonts w:hint="default"/>
          <w:lang w:val="en-US" w:eastAsia="zh"/>
          <w:woUserID w:val="1"/>
        </w:rPr>
        <w:t>这篇论文最有价值的地方，是把终端 AI 波束测试拆成了两个能够分别检查的环节：测试设备是否准确呈现了模型需要面对的无线环境，以及模型在这个环境下是否正确预测。这样，在模型性能下降时，可以先检查环境重建误差，减少把测试设备误差误判为模型问题的可能。</w:t>
      </w:r>
    </w:p>
    <w:p w14:paraId="2606EE8D">
      <w:pPr>
        <w:numPr>
          <w:numId w:val="0"/>
        </w:numPr>
        <w:ind w:leftChars="0" w:firstLine="420" w:firstLineChars="0"/>
        <w:rPr>
          <w:rFonts w:hint="default"/>
          <w:lang w:val="en-US" w:eastAsia="zh"/>
          <w:woUserID w:val="1"/>
        </w:rPr>
      </w:pPr>
      <w:r>
        <w:rPr>
          <w:rFonts w:hint="default"/>
          <w:lang w:val="en-US" w:eastAsia="zh"/>
          <w:woUserID w:val="1"/>
        </w:rPr>
        <w:t>它与前面苹果专利的侧重点也不同。苹果专利主要讨论模型表现退化后如何监控、验证和管理启用状态；本篇提供的是实验室基础能力：怎样生成输入测量、建立参考条件，并验证测试环境是否可信。两者可以衔接，但本篇没有实现模型漂移检测、版本审批或失败回退流程。</w:t>
      </w:r>
    </w:p>
    <w:p w14:paraId="0064DE40">
      <w:pPr>
        <w:numPr>
          <w:numId w:val="0"/>
        </w:numPr>
        <w:ind w:leftChars="0" w:firstLine="420" w:firstLineChars="0"/>
        <w:rPr>
          <w:rFonts w:hint="default"/>
          <w:lang w:val="en-US" w:eastAsia="zh"/>
          <w:woUserID w:val="1"/>
        </w:rPr>
      </w:pPr>
      <w:bookmarkStart w:id="0" w:name="_GoBack"/>
      <w:bookmarkEnd w:id="0"/>
      <w:r>
        <w:rPr>
          <w:rFonts w:hint="default"/>
          <w:lang w:val="en-US" w:eastAsia="zh"/>
          <w:woUserID w:val="1"/>
        </w:rPr>
        <w:t>成熟度方面，论文已经给出了信道处理机制、两种测试策略、探头选择算法、实际 MPAC 装置和模型验证结果，具有明确的实验依据。它的核心贡献仍是面向 AI 波束管理的 OTA 环境重建，而不是覆盖用例管理、终端控制、自动判定和报告生成的完整验收平台。文中也没有提供代码仓库、训练数据下载地址或仪表控制程序。</w:t>
      </w:r>
    </w:p>
    <w:p w14:paraId="7BB92444">
      <w:pPr>
        <w:numPr>
          <w:numId w:val="0"/>
        </w:numPr>
        <w:ind w:leftChars="0"/>
        <w:rPr>
          <w:rFonts w:hint="default"/>
          <w:lang w:val="en-US" w:eastAsia="zh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9CD559"/>
    <w:multiLevelType w:val="singleLevel"/>
    <w:tmpl w:val="B79CD559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EB6F4940"/>
    <w:multiLevelType w:val="singleLevel"/>
    <w:tmpl w:val="EB6F494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3BE"/>
    <w:rsid w:val="003C42EE"/>
    <w:rsid w:val="007137EC"/>
    <w:rsid w:val="00D63882"/>
    <w:rsid w:val="00F003BE"/>
    <w:rsid w:val="03DF852E"/>
    <w:rsid w:val="06A665F7"/>
    <w:rsid w:val="13620456"/>
    <w:rsid w:val="19C553D6"/>
    <w:rsid w:val="1D8C2A69"/>
    <w:rsid w:val="1F011A6A"/>
    <w:rsid w:val="257C5EE3"/>
    <w:rsid w:val="271B2AEB"/>
    <w:rsid w:val="33435AC0"/>
    <w:rsid w:val="383C4522"/>
    <w:rsid w:val="3D910C10"/>
    <w:rsid w:val="41B62CA6"/>
    <w:rsid w:val="43E30CD8"/>
    <w:rsid w:val="4511585F"/>
    <w:rsid w:val="45FE1D39"/>
    <w:rsid w:val="46024FFD"/>
    <w:rsid w:val="482D69F6"/>
    <w:rsid w:val="4C56394D"/>
    <w:rsid w:val="521265C8"/>
    <w:rsid w:val="52C164D5"/>
    <w:rsid w:val="53570CB1"/>
    <w:rsid w:val="54E9135D"/>
    <w:rsid w:val="5BFE6C48"/>
    <w:rsid w:val="5C367357"/>
    <w:rsid w:val="5DF70AB5"/>
    <w:rsid w:val="5DFB61C1"/>
    <w:rsid w:val="5F9FA0C2"/>
    <w:rsid w:val="5FF9E3D3"/>
    <w:rsid w:val="670D5158"/>
    <w:rsid w:val="67B63BB5"/>
    <w:rsid w:val="6BFF84F8"/>
    <w:rsid w:val="6FDE1F16"/>
    <w:rsid w:val="6FFD56DE"/>
    <w:rsid w:val="737F0890"/>
    <w:rsid w:val="73AE76D8"/>
    <w:rsid w:val="76A5227C"/>
    <w:rsid w:val="779416A9"/>
    <w:rsid w:val="780F5C58"/>
    <w:rsid w:val="793B6EAE"/>
    <w:rsid w:val="79D7256A"/>
    <w:rsid w:val="7E025C62"/>
    <w:rsid w:val="7E3E411D"/>
    <w:rsid w:val="7EF92BF5"/>
    <w:rsid w:val="7EFB3DBC"/>
    <w:rsid w:val="A1FFE647"/>
    <w:rsid w:val="A76F57C0"/>
    <w:rsid w:val="BDFFB395"/>
    <w:rsid w:val="BFDF2228"/>
    <w:rsid w:val="CFFFB9AE"/>
    <w:rsid w:val="DEDF4631"/>
    <w:rsid w:val="DEDFFA22"/>
    <w:rsid w:val="DFFF9E5C"/>
    <w:rsid w:val="DFFFA40F"/>
    <w:rsid w:val="EAFF8C31"/>
    <w:rsid w:val="EBDBB5FC"/>
    <w:rsid w:val="ECFB660B"/>
    <w:rsid w:val="F1BEBD18"/>
    <w:rsid w:val="F71F1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Times New Roman" w:hAnsi="Times New Roman" w:eastAsia="宋体"/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60" w:beforeLines="0" w:beforeAutospacing="0" w:after="50" w:afterLines="0" w:afterAutospacing="0" w:line="360" w:lineRule="auto"/>
      <w:outlineLvl w:val="1"/>
    </w:pPr>
    <w:rPr>
      <w:rFonts w:ascii="Times New Roman" w:hAnsi="Times New Roman" w:eastAsia="宋体"/>
      <w:b/>
      <w:sz w:val="24"/>
      <w:szCs w:val="24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</w:rPr>
  </w:style>
  <w:style w:type="character" w:styleId="9">
    <w:name w:val="FollowedHyperlink"/>
    <w:basedOn w:val="7"/>
    <w:semiHidden/>
    <w:unhideWhenUsed/>
    <w:uiPriority w:val="99"/>
    <w:rPr>
      <w:color w:val="800080"/>
      <w:u w:val="single"/>
    </w:rPr>
  </w:style>
  <w:style w:type="character" w:styleId="10">
    <w:name w:val="Hyperlink"/>
    <w:basedOn w:val="7"/>
    <w:unhideWhenUsed/>
    <w:qFormat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1580</Words>
  <Characters>1738</Characters>
  <Lines>0</Lines>
  <Paragraphs>0</Paragraphs>
  <TotalTime>8</TotalTime>
  <ScaleCrop>false</ScaleCrop>
  <LinksUpToDate>false</LinksUpToDate>
  <CharactersWithSpaces>1798</CharactersWithSpaces>
  <Application>WPS Office WWO_wpscloud_20260324165504-6975d99af8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2022-01-11T09:29:00Z</dcterms:created>
  <dc:creator>王辉(72025223)</dc:creator>
  <cp:lastModifiedBy>Troye</cp:lastModifiedBy>
  <dcterms:modified xsi:type="dcterms:W3CDTF">2026-10-09T12:26:25Z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2052-12.9.0.25403</vt:lpwstr>
  </property>
  <property fmtid="{D5CDD505-2E9C-101B-9397-08002B2CF9AE}" pid="3" name="ICV">
    <vt:lpwstr>400BF008911170D1F16CC86A5B775EF5_43</vt:lpwstr>
  </property>
  <property fmtid="{D5CDD505-2E9C-101B-9397-08002B2CF9AE}" pid="4" name="KSOTemplateDocerSaveRecord">
    <vt:lpwstr>eyJoZGlkIjoiZDcyN2Q1YWYyMTE4MzAwNzAwYzRkYTAwMzU1YmJhMWIiLCJ1c2VySWQiOiIxMjQyMTU2MjAzIn0=</vt:lpwstr>
  </property>
</Properties>
</file>